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8D" w:rsidRPr="00CF6036" w:rsidRDefault="0066638D" w:rsidP="004D09A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</w:t>
      </w:r>
      <w:r w:rsidR="006A04C2" w:rsidRPr="006A04C2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9.5pt;visibility:visible">
            <v:imagedata r:id="rId5" o:title=""/>
          </v:shape>
        </w:pict>
      </w:r>
    </w:p>
    <w:p w:rsidR="0066638D" w:rsidRPr="00CF6036" w:rsidRDefault="0066638D" w:rsidP="003B3325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66638D" w:rsidRDefault="0066638D" w:rsidP="003B332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F6036">
        <w:rPr>
          <w:rFonts w:ascii="Times New Roman" w:hAnsi="Times New Roman" w:cs="Times New Roman"/>
          <w:b/>
          <w:bCs/>
          <w:sz w:val="32"/>
          <w:szCs w:val="32"/>
        </w:rPr>
        <w:t xml:space="preserve">У  К  </w:t>
      </w:r>
      <w:proofErr w:type="gramStart"/>
      <w:r w:rsidRPr="00CF6036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CF6036">
        <w:rPr>
          <w:rFonts w:ascii="Times New Roman" w:hAnsi="Times New Roman" w:cs="Times New Roman"/>
          <w:b/>
          <w:bCs/>
          <w:sz w:val="32"/>
          <w:szCs w:val="32"/>
        </w:rPr>
        <w:t xml:space="preserve">  А  </w:t>
      </w:r>
      <w:r w:rsidRPr="00CF6036">
        <w:rPr>
          <w:rFonts w:ascii="Times New Roman" w:hAnsi="Times New Roman" w:cs="Times New Roman"/>
          <w:b/>
          <w:bCs/>
          <w:sz w:val="32"/>
          <w:szCs w:val="32"/>
          <w:lang w:val="uk-UA"/>
        </w:rPr>
        <w:t>Ї</w:t>
      </w:r>
      <w:r w:rsidRPr="00CF6036">
        <w:rPr>
          <w:rFonts w:ascii="Times New Roman" w:hAnsi="Times New Roman" w:cs="Times New Roman"/>
          <w:b/>
          <w:bCs/>
          <w:sz w:val="32"/>
          <w:szCs w:val="32"/>
        </w:rPr>
        <w:t xml:space="preserve">  Н  А</w:t>
      </w:r>
    </w:p>
    <w:p w:rsidR="0066638D" w:rsidRPr="00DD5083" w:rsidRDefault="0066638D" w:rsidP="003B3325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66638D" w:rsidRPr="00CF6036" w:rsidRDefault="0066638D" w:rsidP="003B3325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F6036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Б а х м у т с ь к а     м і с ь к а     р а д а     </w:t>
      </w:r>
    </w:p>
    <w:p w:rsidR="0066638D" w:rsidRPr="00CF6036" w:rsidRDefault="0066638D" w:rsidP="003B3325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66638D" w:rsidRPr="00F51854" w:rsidRDefault="0066638D" w:rsidP="003B3325">
      <w:pPr>
        <w:pStyle w:val="6"/>
        <w:rPr>
          <w:rFonts w:ascii="Times New Roman" w:hAnsi="Times New Roman"/>
          <w:lang w:val="uk-UA"/>
        </w:rPr>
      </w:pPr>
      <w:r w:rsidRPr="00F51854">
        <w:rPr>
          <w:rFonts w:ascii="Times New Roman" w:hAnsi="Times New Roman"/>
          <w:lang w:val="uk-UA"/>
        </w:rPr>
        <w:t xml:space="preserve">  110  СЕСІЯ   6  </w:t>
      </w:r>
      <w:r w:rsidRPr="00F51854">
        <w:rPr>
          <w:rFonts w:ascii="Times New Roman" w:hAnsi="Times New Roman"/>
          <w:b w:val="0"/>
          <w:bCs w:val="0"/>
          <w:i/>
          <w:iCs/>
          <w:lang w:val="uk-UA"/>
        </w:rPr>
        <w:t xml:space="preserve"> </w:t>
      </w:r>
      <w:r w:rsidRPr="00F51854">
        <w:rPr>
          <w:rFonts w:ascii="Times New Roman" w:hAnsi="Times New Roman"/>
          <w:lang w:val="uk-UA"/>
        </w:rPr>
        <w:t>СКЛИКАННЯ</w:t>
      </w:r>
    </w:p>
    <w:p w:rsidR="0066638D" w:rsidRPr="00F51854" w:rsidRDefault="0066638D" w:rsidP="003B3325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66638D" w:rsidRPr="00F51854" w:rsidRDefault="0066638D" w:rsidP="003B3325">
      <w:pPr>
        <w:pStyle w:val="6"/>
        <w:rPr>
          <w:rFonts w:ascii="Times New Roman" w:hAnsi="Times New Roman"/>
          <w:lang w:val="uk-UA"/>
        </w:rPr>
      </w:pPr>
      <w:r w:rsidRPr="00F51854">
        <w:rPr>
          <w:rFonts w:ascii="Times New Roman" w:hAnsi="Times New Roman"/>
          <w:lang w:val="uk-UA"/>
        </w:rPr>
        <w:t xml:space="preserve">Р І Ш Е Н </w:t>
      </w:r>
      <w:proofErr w:type="spellStart"/>
      <w:r w:rsidRPr="00F51854">
        <w:rPr>
          <w:rFonts w:ascii="Times New Roman" w:hAnsi="Times New Roman"/>
          <w:lang w:val="uk-UA"/>
        </w:rPr>
        <w:t>Н</w:t>
      </w:r>
      <w:proofErr w:type="spellEnd"/>
      <w:r w:rsidRPr="00F51854">
        <w:rPr>
          <w:rFonts w:ascii="Times New Roman" w:hAnsi="Times New Roman"/>
          <w:lang w:val="uk-UA"/>
        </w:rPr>
        <w:t xml:space="preserve"> Я </w:t>
      </w:r>
    </w:p>
    <w:p w:rsidR="0066638D" w:rsidRPr="00F665A6" w:rsidRDefault="0066638D" w:rsidP="003B3325">
      <w:pPr>
        <w:rPr>
          <w:lang w:val="uk-UA"/>
        </w:rPr>
      </w:pPr>
    </w:p>
    <w:p w:rsidR="0066638D" w:rsidRPr="00B81675" w:rsidRDefault="00B81675" w:rsidP="003B3325">
      <w:pPr>
        <w:shd w:val="clear" w:color="auto" w:fill="FFFFFF"/>
        <w:spacing w:after="0" w:line="278" w:lineRule="exact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B8167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28</w:t>
      </w:r>
      <w:r w:rsidR="002D327E" w:rsidRPr="00B8167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66638D" w:rsidRPr="00B8167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.02.</w:t>
      </w:r>
      <w:r w:rsidR="0066638D" w:rsidRPr="00B81675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6638D" w:rsidRPr="00B8167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</w:t>
      </w:r>
      <w:r w:rsidR="0066638D" w:rsidRPr="00B8167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№ 6/</w:t>
      </w:r>
      <w:r w:rsidR="0066638D" w:rsidRPr="00B8167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110-</w:t>
      </w:r>
      <w:r w:rsidRPr="00B8167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2112</w:t>
      </w:r>
      <w:r w:rsidR="0066638D" w:rsidRPr="00B8167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      </w:t>
      </w:r>
    </w:p>
    <w:p w:rsidR="0066638D" w:rsidRDefault="0066638D" w:rsidP="003B3325">
      <w:pPr>
        <w:shd w:val="clear" w:color="auto" w:fill="FFFFFF"/>
        <w:spacing w:after="0" w:line="278" w:lineRule="exact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 w:rsidRPr="00CF60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F6036">
        <w:rPr>
          <w:rFonts w:ascii="Times New Roman" w:hAnsi="Times New Roman" w:cs="Times New Roman"/>
          <w:spacing w:val="-2"/>
          <w:sz w:val="24"/>
          <w:szCs w:val="24"/>
          <w:lang w:val="uk-UA"/>
        </w:rPr>
        <w:t>м.Бахмут</w:t>
      </w:r>
      <w:proofErr w:type="spellEnd"/>
    </w:p>
    <w:p w:rsidR="0066638D" w:rsidRPr="00CF6036" w:rsidRDefault="0066638D" w:rsidP="003B3325">
      <w:pPr>
        <w:shd w:val="clear" w:color="auto" w:fill="FFFFFF"/>
        <w:spacing w:after="0" w:line="278" w:lineRule="exact"/>
        <w:rPr>
          <w:rFonts w:ascii="Times New Roman" w:hAnsi="Times New Roman" w:cs="Times New Roman"/>
        </w:rPr>
      </w:pPr>
    </w:p>
    <w:p w:rsidR="0066638D" w:rsidRDefault="0066638D" w:rsidP="002424D0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Про</w:t>
      </w:r>
      <w:r w:rsidR="002424D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затвердження</w:t>
      </w:r>
      <w:r w:rsidRPr="00CF603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Порядку  </w:t>
      </w:r>
      <w:r w:rsidR="002424D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використання </w:t>
      </w:r>
      <w:r w:rsidR="002424D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коштів, </w:t>
      </w:r>
      <w:r w:rsidR="002424D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передбачених </w:t>
      </w:r>
    </w:p>
    <w:p w:rsidR="0066638D" w:rsidRDefault="0066638D" w:rsidP="002424D0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  міському бюджеті для надання</w:t>
      </w:r>
      <w:r w:rsidR="002424D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фінансової підтримки громадським </w:t>
      </w:r>
    </w:p>
    <w:p w:rsidR="0066638D" w:rsidRDefault="0066638D" w:rsidP="002424D0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організаціям осіб  з  інвалідністю</w:t>
      </w:r>
      <w:r w:rsidR="002424D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і ветеранів</w:t>
      </w:r>
    </w:p>
    <w:p w:rsidR="0066638D" w:rsidRDefault="0066638D" w:rsidP="002424D0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66638D" w:rsidRDefault="0066638D" w:rsidP="001754AA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службову записку від 23.01.2018 № 01-0418-06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       начальника Управління праці та соціального захисту населення </w:t>
      </w:r>
      <w:proofErr w:type="spellStart"/>
      <w:r w:rsidRPr="00CF6036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</w:t>
      </w:r>
      <w:proofErr w:type="spellStart"/>
      <w:r w:rsidRPr="00CF6036"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 І.В. щодо </w:t>
      </w:r>
      <w:r w:rsidRPr="00F514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врегулювання окремих питань з надання фінансової підтримки  громадським організаціям осіб з інвалідністю і ветеранів, на виконання рішення Бахмутської міської ради від  24.05.2017 № 6/101-1872  «Про затвердження Комплексної програми по соціальному захисту окремих категорій громадян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2015-2018 роки у новій редакції», із внесеними до нього  змінами, відповідно до постанови Кабінету Міністрів України від 07.03.2012 № 176 «Про затвердження Порядку використання коштів, передбачених у державному бюджеті на фінансову підтримку громадських об</w:t>
      </w:r>
      <w:r w:rsidRPr="00017B0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єднань інвалідів та ветеранів, заходи з відвідування військових поховань і військових пам</w:t>
      </w:r>
      <w:r w:rsidRPr="00017B0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ятників та з відзначення Дня пам</w:t>
      </w:r>
      <w:r w:rsidRPr="00C3007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яті та примирення, Дня перемоги над нацизмом у Другій світовій війні» із внесеними до неї змінами, Закону України «Про внесення змін до деяких законодавчих актів України» від 19.12.2017 № 2249-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ст.91 Бюджетного кодексу України, 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>керуючись  ст.</w:t>
      </w:r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2A71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>,34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від 21.05.1997 № 280/97-ВР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внесеними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нього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змінами,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F6036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66638D" w:rsidRDefault="0066638D" w:rsidP="003B3325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638D" w:rsidRDefault="0066638D" w:rsidP="003B3325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6036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 :</w:t>
      </w:r>
    </w:p>
    <w:p w:rsidR="002424D0" w:rsidRDefault="0066638D" w:rsidP="00181825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66638D" w:rsidRDefault="002424D0" w:rsidP="00181825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6638D">
        <w:rPr>
          <w:rFonts w:ascii="Times New Roman" w:hAnsi="Times New Roman" w:cs="Times New Roman"/>
          <w:sz w:val="28"/>
          <w:szCs w:val="28"/>
          <w:lang w:val="uk-UA"/>
        </w:rPr>
        <w:t xml:space="preserve"> 1. </w:t>
      </w:r>
      <w:r w:rsidR="0066638D" w:rsidRPr="00F665A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</w:t>
      </w:r>
      <w:r w:rsidR="0066638D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Порядок </w:t>
      </w:r>
      <w:r w:rsidR="0066638D" w:rsidRPr="00181825">
        <w:rPr>
          <w:rFonts w:ascii="Times New Roman" w:hAnsi="Times New Roman" w:cs="Times New Roman"/>
          <w:sz w:val="28"/>
          <w:szCs w:val="28"/>
          <w:lang w:val="uk-UA"/>
        </w:rPr>
        <w:t>використання коштів, передбачених в міському бюджеті для надан</w:t>
      </w:r>
      <w:r w:rsidR="0066638D">
        <w:rPr>
          <w:rFonts w:ascii="Times New Roman" w:hAnsi="Times New Roman" w:cs="Times New Roman"/>
          <w:sz w:val="28"/>
          <w:szCs w:val="28"/>
          <w:lang w:val="uk-UA"/>
        </w:rPr>
        <w:t>ня  фінансової підтримки</w:t>
      </w:r>
      <w:r w:rsidR="0066638D" w:rsidRPr="00181825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громадським організаціям </w:t>
      </w:r>
      <w:r w:rsidR="0066638D">
        <w:rPr>
          <w:rFonts w:ascii="Times New Roman" w:hAnsi="Times New Roman" w:cs="Times New Roman"/>
          <w:sz w:val="28"/>
          <w:szCs w:val="28"/>
          <w:lang w:val="uk-UA"/>
        </w:rPr>
        <w:t xml:space="preserve">осіб з інвалідністю </w:t>
      </w:r>
      <w:r w:rsidR="0066638D" w:rsidRPr="00181825">
        <w:rPr>
          <w:rFonts w:ascii="Times New Roman" w:hAnsi="Times New Roman" w:cs="Times New Roman"/>
          <w:sz w:val="28"/>
          <w:szCs w:val="28"/>
          <w:lang w:val="uk-UA"/>
        </w:rPr>
        <w:t xml:space="preserve">  і ветеранів</w:t>
      </w:r>
      <w:r w:rsidR="0066638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="0066638D">
        <w:rPr>
          <w:rFonts w:ascii="Times New Roman" w:hAnsi="Times New Roman" w:cs="Times New Roman"/>
          <w:sz w:val="28"/>
          <w:szCs w:val="28"/>
          <w:lang w:val="uk-UA"/>
        </w:rPr>
        <w:t>(далі – Порядок) (додає</w:t>
      </w:r>
      <w:r w:rsidR="0066638D" w:rsidRPr="00CF6036">
        <w:rPr>
          <w:rFonts w:ascii="Times New Roman" w:hAnsi="Times New Roman" w:cs="Times New Roman"/>
          <w:sz w:val="28"/>
          <w:szCs w:val="28"/>
          <w:lang w:val="uk-UA"/>
        </w:rPr>
        <w:t>ться).</w:t>
      </w:r>
    </w:p>
    <w:p w:rsidR="0066638D" w:rsidRDefault="0066638D" w:rsidP="003B3325">
      <w:pPr>
        <w:shd w:val="clear" w:color="auto" w:fill="FFFFFF"/>
        <w:spacing w:after="0" w:line="298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CF6036" w:rsidRDefault="0066638D" w:rsidP="009E1D44">
      <w:pPr>
        <w:shd w:val="clear" w:color="auto" w:fill="FFFFFF"/>
        <w:spacing w:after="0" w:line="298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E1D4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>. Фінансовому управлінню Бахмутської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ької ради (Ткаченко)  передбачити кошти в міському бюджеті для надання  фінансової підтримки </w:t>
      </w:r>
      <w:r w:rsidRPr="00181825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громадським організаціям </w:t>
      </w:r>
      <w:r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Pr="00181825">
        <w:rPr>
          <w:rFonts w:ascii="Times New Roman" w:hAnsi="Times New Roman" w:cs="Times New Roman"/>
          <w:sz w:val="28"/>
          <w:szCs w:val="28"/>
          <w:lang w:val="uk-UA"/>
        </w:rPr>
        <w:t xml:space="preserve">  і ветеранів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з цим рішенням в межах асигнувань, передбачених в кошторисах доходів та видатків на ці цілі на відповідний рік.</w:t>
      </w:r>
    </w:p>
    <w:p w:rsidR="0066638D" w:rsidRPr="00CF6036" w:rsidRDefault="0066638D" w:rsidP="003B3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CF6036" w:rsidRDefault="0066638D" w:rsidP="003B3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E1D4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>.  Організаційне виконання рішення покласти на Управління праці та соціального захисту населення Бахмутської міської ради (</w:t>
      </w:r>
      <w:proofErr w:type="spellStart"/>
      <w:r w:rsidRPr="00CF6036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),  Фінансове управління </w:t>
      </w:r>
      <w:proofErr w:type="spellStart"/>
      <w:r w:rsidRPr="00CF6036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(Ткаченко), заступника міського голови  Точену В.В., першого  заступника міського голови  Савченко Т.М.</w:t>
      </w:r>
    </w:p>
    <w:p w:rsidR="0066638D" w:rsidRPr="00CF6036" w:rsidRDefault="0066638D" w:rsidP="003B3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3B3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E1D4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F603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 постійні комісії Бахмутської міської ради: з питань соціального захисту  населення і охорони здоров’я (</w:t>
      </w:r>
      <w:proofErr w:type="spellStart"/>
      <w:r w:rsidRPr="00CF6036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 w:rsidRPr="00CF6036">
        <w:rPr>
          <w:rFonts w:ascii="Times New Roman" w:hAnsi="Times New Roman" w:cs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CF6036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</w:t>
      </w:r>
      <w:proofErr w:type="spellStart"/>
      <w:r w:rsidRPr="00CF6036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  Кіщенко С.І.</w:t>
      </w:r>
    </w:p>
    <w:p w:rsidR="0066638D" w:rsidRDefault="0066638D" w:rsidP="003B3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3B3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3B3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CF6036" w:rsidRDefault="0066638D" w:rsidP="003B332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F603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CF6036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CF6036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</w:t>
      </w:r>
      <w:r w:rsidRPr="00CF60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О.О.РЕВА</w:t>
      </w:r>
    </w:p>
    <w:p w:rsidR="0066638D" w:rsidRDefault="0066638D">
      <w:pPr>
        <w:rPr>
          <w:lang w:val="uk-UA"/>
        </w:rPr>
      </w:pPr>
    </w:p>
    <w:p w:rsidR="0066638D" w:rsidRDefault="0066638D">
      <w:pPr>
        <w:rPr>
          <w:lang w:val="uk-UA"/>
        </w:rPr>
      </w:pPr>
    </w:p>
    <w:p w:rsidR="0066638D" w:rsidRDefault="0066638D">
      <w:pPr>
        <w:rPr>
          <w:lang w:val="uk-UA"/>
        </w:rPr>
      </w:pPr>
    </w:p>
    <w:p w:rsidR="0066638D" w:rsidRDefault="0066638D">
      <w:pPr>
        <w:rPr>
          <w:lang w:val="uk-UA"/>
        </w:rPr>
      </w:pPr>
    </w:p>
    <w:p w:rsidR="0066638D" w:rsidRDefault="0066638D">
      <w:pPr>
        <w:rPr>
          <w:lang w:val="uk-UA"/>
        </w:rPr>
      </w:pPr>
    </w:p>
    <w:p w:rsidR="0066638D" w:rsidRDefault="0066638D">
      <w:pPr>
        <w:rPr>
          <w:lang w:val="uk-UA"/>
        </w:rPr>
      </w:pPr>
    </w:p>
    <w:p w:rsidR="002424D0" w:rsidRDefault="002424D0">
      <w:pPr>
        <w:rPr>
          <w:lang w:val="uk-UA"/>
        </w:rPr>
      </w:pPr>
    </w:p>
    <w:p w:rsidR="002424D0" w:rsidRDefault="002424D0">
      <w:pPr>
        <w:rPr>
          <w:lang w:val="uk-UA"/>
        </w:rPr>
      </w:pPr>
    </w:p>
    <w:p w:rsidR="002424D0" w:rsidRDefault="002424D0">
      <w:pPr>
        <w:rPr>
          <w:lang w:val="uk-UA"/>
        </w:rPr>
      </w:pPr>
    </w:p>
    <w:p w:rsidR="002424D0" w:rsidRDefault="002424D0">
      <w:pPr>
        <w:rPr>
          <w:lang w:val="uk-UA"/>
        </w:rPr>
      </w:pPr>
    </w:p>
    <w:p w:rsidR="002424D0" w:rsidRDefault="002424D0">
      <w:pPr>
        <w:rPr>
          <w:lang w:val="uk-UA"/>
        </w:rPr>
      </w:pPr>
    </w:p>
    <w:p w:rsidR="002424D0" w:rsidRDefault="002424D0">
      <w:pPr>
        <w:rPr>
          <w:lang w:val="uk-UA"/>
        </w:rPr>
      </w:pPr>
    </w:p>
    <w:p w:rsidR="002424D0" w:rsidRDefault="002424D0">
      <w:pPr>
        <w:rPr>
          <w:lang w:val="uk-UA"/>
        </w:rPr>
      </w:pPr>
    </w:p>
    <w:p w:rsidR="0066638D" w:rsidRDefault="0066638D">
      <w:pPr>
        <w:rPr>
          <w:lang w:val="uk-UA"/>
        </w:rPr>
      </w:pPr>
    </w:p>
    <w:p w:rsidR="0066638D" w:rsidRDefault="0066638D">
      <w:pPr>
        <w:rPr>
          <w:lang w:val="uk-UA"/>
        </w:rPr>
      </w:pPr>
    </w:p>
    <w:tbl>
      <w:tblPr>
        <w:tblW w:w="9128" w:type="dxa"/>
        <w:tblInd w:w="6162" w:type="dxa"/>
        <w:tblLook w:val="00A0"/>
      </w:tblPr>
      <w:tblGrid>
        <w:gridCol w:w="9128"/>
      </w:tblGrid>
      <w:tr w:rsidR="0066638D" w:rsidRPr="00B81675" w:rsidTr="004D09A7">
        <w:trPr>
          <w:trHeight w:val="1185"/>
        </w:trPr>
        <w:tc>
          <w:tcPr>
            <w:tcW w:w="9128" w:type="dxa"/>
          </w:tcPr>
          <w:p w:rsidR="0066638D" w:rsidRPr="008E67B6" w:rsidRDefault="0066638D" w:rsidP="004D09A7">
            <w:pPr>
              <w:spacing w:after="0" w:line="240" w:lineRule="auto"/>
              <w:ind w:right="-64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ЗАТВЕРДЖЕНО</w:t>
            </w:r>
          </w:p>
          <w:p w:rsidR="0066638D" w:rsidRPr="008E67B6" w:rsidRDefault="0066638D" w:rsidP="004D09A7">
            <w:pPr>
              <w:spacing w:after="0" w:line="240" w:lineRule="auto"/>
              <w:ind w:right="-64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67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Бахмутської                                                                               міської  ради</w:t>
            </w:r>
          </w:p>
          <w:p w:rsidR="0066638D" w:rsidRPr="00B81675" w:rsidRDefault="00B81675" w:rsidP="004D09A7">
            <w:pPr>
              <w:spacing w:after="0" w:line="240" w:lineRule="auto"/>
              <w:ind w:right="-6484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B81675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28.02. 2018 №6/110-2112</w:t>
            </w:r>
          </w:p>
          <w:p w:rsidR="0066638D" w:rsidRPr="008E67B6" w:rsidRDefault="0066638D" w:rsidP="004D09A7">
            <w:pPr>
              <w:spacing w:after="0" w:line="240" w:lineRule="auto"/>
              <w:ind w:right="-64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6638D" w:rsidRDefault="0066638D" w:rsidP="00727B5C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Порядок</w:t>
      </w:r>
    </w:p>
    <w:p w:rsidR="0066638D" w:rsidRDefault="0066638D" w:rsidP="00727B5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використання коштів, передбачених в міському бюджеті для надання фінансової підтримки  громадським організаціям осіб з інвалідністю і ветеранів.</w:t>
      </w:r>
    </w:p>
    <w:p w:rsidR="0066638D" w:rsidRDefault="0066638D" w:rsidP="00727B5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111781" w:rsidRDefault="0066638D" w:rsidP="00727B5C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781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D63C03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коштів, передбачених в міському бюджеті для надання фінансової підтримки громадським організаціям осіб з інвалідністю і ветеранів (далі – Порядок),</w:t>
      </w:r>
      <w:r w:rsidRPr="00111781">
        <w:rPr>
          <w:rFonts w:ascii="Times New Roman" w:hAnsi="Times New Roman" w:cs="Times New Roman"/>
          <w:sz w:val="28"/>
          <w:szCs w:val="28"/>
          <w:lang w:val="uk-UA"/>
        </w:rPr>
        <w:t xml:space="preserve"> визначає механізм надання та використання бюджетних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1781">
        <w:rPr>
          <w:rFonts w:ascii="Times New Roman" w:hAnsi="Times New Roman" w:cs="Times New Roman"/>
          <w:sz w:val="28"/>
          <w:szCs w:val="28"/>
          <w:lang w:val="uk-UA"/>
        </w:rPr>
        <w:t>коштів, передбачених в міському бюджеті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м.Бахмута</w:t>
      </w:r>
      <w:proofErr w:type="spellEnd"/>
      <w:r w:rsidRPr="00111781">
        <w:rPr>
          <w:rFonts w:ascii="Times New Roman" w:hAnsi="Times New Roman" w:cs="Times New Roman"/>
          <w:sz w:val="28"/>
          <w:szCs w:val="28"/>
          <w:lang w:val="uk-UA"/>
        </w:rPr>
        <w:t xml:space="preserve"> для надан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фінансової підтримки </w:t>
      </w:r>
      <w:r w:rsidRPr="00111781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громадським організаціям </w:t>
      </w:r>
      <w:r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Pr="00111781">
        <w:rPr>
          <w:rFonts w:ascii="Times New Roman" w:hAnsi="Times New Roman" w:cs="Times New Roman"/>
          <w:sz w:val="28"/>
          <w:szCs w:val="28"/>
          <w:lang w:val="uk-UA"/>
        </w:rPr>
        <w:t xml:space="preserve"> і ветеранів (далі – бюджетні кошти)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рік</w:t>
      </w:r>
      <w:r w:rsidRPr="001117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638D" w:rsidRPr="004927E9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ED3CFE" w:rsidRDefault="0066638D" w:rsidP="00727B5C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CFE"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розпорядником бюджетних коштів, які використовуються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3CF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цього Порядку, є Управління праці та соціального захисту населення Бахмутської міської ради ( </w:t>
      </w:r>
      <w:proofErr w:type="spellStart"/>
      <w:r w:rsidRPr="00ED3CFE">
        <w:rPr>
          <w:rFonts w:ascii="Times New Roman" w:hAnsi="Times New Roman" w:cs="Times New Roman"/>
          <w:sz w:val="28"/>
          <w:szCs w:val="28"/>
          <w:lang w:val="uk-UA"/>
        </w:rPr>
        <w:t>далі-</w:t>
      </w:r>
      <w:proofErr w:type="spellEnd"/>
      <w:r w:rsidRPr="00ED3CFE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Управління).</w:t>
      </w:r>
    </w:p>
    <w:p w:rsidR="0066638D" w:rsidRPr="004927E9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ED3CFE" w:rsidRDefault="0066638D" w:rsidP="00727B5C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CFE">
        <w:rPr>
          <w:rFonts w:ascii="Times New Roman" w:hAnsi="Times New Roman" w:cs="Times New Roman"/>
          <w:sz w:val="28"/>
          <w:szCs w:val="28"/>
          <w:lang w:val="uk-UA"/>
        </w:rPr>
        <w:t xml:space="preserve">Одержувачами бюджетних коштів, що надаються згідно з цим Порядком, є  громадські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Pr="00ED3CFE">
        <w:rPr>
          <w:rFonts w:ascii="Times New Roman" w:hAnsi="Times New Roman" w:cs="Times New Roman"/>
          <w:sz w:val="28"/>
          <w:szCs w:val="28"/>
          <w:lang w:val="uk-UA"/>
        </w:rPr>
        <w:t xml:space="preserve"> і ветеранів (далі – громадські організації), діяльність яких має соціальну спрямованість та які ведуть постійну активну громадську роботу на території </w:t>
      </w:r>
      <w:proofErr w:type="spellStart"/>
      <w:r w:rsidRPr="00ED3CFE">
        <w:rPr>
          <w:rFonts w:ascii="Times New Roman" w:hAnsi="Times New Roman" w:cs="Times New Roman"/>
          <w:sz w:val="28"/>
          <w:szCs w:val="28"/>
          <w:lang w:val="uk-UA"/>
        </w:rPr>
        <w:t>м.Бахмут</w:t>
      </w:r>
      <w:proofErr w:type="spellEnd"/>
      <w:r w:rsidRPr="00ED3C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638D" w:rsidRPr="004927E9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ED3CFE" w:rsidRDefault="0066638D" w:rsidP="00727B5C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CFE">
        <w:rPr>
          <w:rFonts w:ascii="Times New Roman" w:hAnsi="Times New Roman" w:cs="Times New Roman"/>
          <w:sz w:val="28"/>
          <w:szCs w:val="28"/>
          <w:lang w:val="uk-UA"/>
        </w:rPr>
        <w:t xml:space="preserve">Для отримання бюджетних коштів громадські організації подають Управлінню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щорічно </w:t>
      </w:r>
      <w:r w:rsidRPr="00ED3CFE">
        <w:rPr>
          <w:rFonts w:ascii="Times New Roman" w:hAnsi="Times New Roman" w:cs="Times New Roman"/>
          <w:sz w:val="28"/>
          <w:szCs w:val="28"/>
          <w:lang w:val="uk-UA"/>
        </w:rPr>
        <w:t>до 1 вересня, що передує періоду, в якому надається фінансова підтримка, заяву щодо її отримання.</w:t>
      </w:r>
    </w:p>
    <w:p w:rsidR="0066638D" w:rsidRPr="004927E9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заяви додаються:</w:t>
      </w:r>
    </w:p>
    <w:p w:rsidR="0066638D" w:rsidRPr="00111781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781">
        <w:rPr>
          <w:rFonts w:ascii="Times New Roman" w:hAnsi="Times New Roman" w:cs="Times New Roman"/>
          <w:sz w:val="28"/>
          <w:szCs w:val="28"/>
          <w:lang w:val="uk-UA"/>
        </w:rPr>
        <w:t>анкета громадської організації за встановленою формою;</w:t>
      </w:r>
    </w:p>
    <w:p w:rsidR="0066638D" w:rsidRPr="00ED3CFE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CFE">
        <w:rPr>
          <w:rFonts w:ascii="Times New Roman" w:hAnsi="Times New Roman" w:cs="Times New Roman"/>
          <w:sz w:val="28"/>
          <w:szCs w:val="28"/>
          <w:lang w:val="uk-UA"/>
        </w:rPr>
        <w:t>копія статуту (положення) громадської організації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засвідчена нотаріально </w:t>
      </w:r>
      <w:r w:rsidRPr="00ED3CFE">
        <w:rPr>
          <w:rFonts w:ascii="Times New Roman" w:hAnsi="Times New Roman" w:cs="Times New Roman"/>
          <w:sz w:val="28"/>
          <w:szCs w:val="28"/>
          <w:lang w:val="uk-UA"/>
        </w:rPr>
        <w:t>(подається одноразово під час отримання бюджетних коштів вперше, якщо до зазначеного статуту (положення) не вносили зміни);</w:t>
      </w:r>
    </w:p>
    <w:p w:rsidR="0066638D" w:rsidRPr="006F7883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883">
        <w:rPr>
          <w:rFonts w:ascii="Times New Roman" w:hAnsi="Times New Roman" w:cs="Times New Roman"/>
          <w:sz w:val="28"/>
          <w:szCs w:val="28"/>
          <w:lang w:val="uk-UA"/>
        </w:rPr>
        <w:t>копія свідоцтва про реєстрацію громадської організації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7883">
        <w:rPr>
          <w:rFonts w:ascii="Times New Roman" w:hAnsi="Times New Roman" w:cs="Times New Roman"/>
          <w:sz w:val="28"/>
          <w:szCs w:val="28"/>
          <w:lang w:val="uk-UA"/>
        </w:rPr>
        <w:t xml:space="preserve">(подається одноразово під час отримання бюджетних коштів вперше, якщо до зазначеного свідоцтва та статуту (положення) не вносили зміни);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638D" w:rsidRPr="004927E9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927E9">
        <w:rPr>
          <w:rFonts w:ascii="Times New Roman" w:hAnsi="Times New Roman" w:cs="Times New Roman"/>
          <w:sz w:val="28"/>
          <w:szCs w:val="28"/>
          <w:lang w:val="uk-UA"/>
        </w:rPr>
        <w:t>опія довідки про взяття на облік платника податків;</w:t>
      </w:r>
    </w:p>
    <w:p w:rsidR="0066638D" w:rsidRPr="007D5B61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B61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копія протоколу засідання загальних зборів громадської організації про обрання керівного складу, підписана керівником та завірена печаткою;</w:t>
      </w:r>
    </w:p>
    <w:p w:rsidR="0066638D" w:rsidRPr="007D5B61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5B61">
        <w:rPr>
          <w:rFonts w:ascii="Times New Roman" w:hAnsi="Times New Roman" w:cs="Times New Roman"/>
          <w:sz w:val="28"/>
          <w:szCs w:val="28"/>
          <w:lang w:val="uk-UA"/>
        </w:rPr>
        <w:t>довідку про кількість членів громадської організації, підписану керівником організації та засвідчену печаткою;</w:t>
      </w:r>
    </w:p>
    <w:p w:rsidR="0066638D" w:rsidRPr="007D5B61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7D5B61">
        <w:rPr>
          <w:rFonts w:ascii="Times New Roman" w:hAnsi="Times New Roman" w:cs="Times New Roman"/>
          <w:sz w:val="28"/>
          <w:szCs w:val="28"/>
          <w:lang w:val="uk-UA"/>
        </w:rPr>
        <w:t>копія звіту про діяльність громадської організації за формою державного статистичного спостереження № 1 – громадське об’єднання (річна) «Звіт про діяльність громадського об</w:t>
      </w:r>
      <w:r w:rsidRPr="006F788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7D5B61">
        <w:rPr>
          <w:rFonts w:ascii="Times New Roman" w:hAnsi="Times New Roman" w:cs="Times New Roman"/>
          <w:sz w:val="28"/>
          <w:szCs w:val="28"/>
          <w:lang w:val="uk-UA"/>
        </w:rPr>
        <w:t>єднання»;</w:t>
      </w:r>
    </w:p>
    <w:p w:rsidR="0066638D" w:rsidRPr="00ED3CFE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ED3CFE">
        <w:rPr>
          <w:rFonts w:ascii="Times New Roman" w:hAnsi="Times New Roman" w:cs="Times New Roman"/>
          <w:sz w:val="28"/>
          <w:szCs w:val="28"/>
          <w:lang w:val="uk-UA"/>
        </w:rPr>
        <w:t>напрями використання бюджетних коштів, затверджені відповідним чином;</w:t>
      </w:r>
    </w:p>
    <w:p w:rsidR="0066638D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календарний план та анкета заходів</w:t>
      </w:r>
      <w:r w:rsidRPr="004927E9">
        <w:rPr>
          <w:rFonts w:ascii="Times New Roman" w:hAnsi="Times New Roman" w:cs="Times New Roman"/>
          <w:sz w:val="28"/>
          <w:szCs w:val="28"/>
          <w:lang w:val="uk-UA"/>
        </w:rPr>
        <w:t xml:space="preserve"> (програми);</w:t>
      </w:r>
    </w:p>
    <w:p w:rsidR="0066638D" w:rsidRPr="004927E9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розрахунки та обґрунтування за напрямами використання бюджетних коштів, затверджені відповідним чином;</w:t>
      </w:r>
    </w:p>
    <w:p w:rsidR="0066638D" w:rsidRPr="0099725F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використання бюджетних коштів </w:t>
      </w:r>
      <w:r w:rsidR="008960CA">
        <w:rPr>
          <w:rFonts w:ascii="Times New Roman" w:hAnsi="Times New Roman" w:cs="Times New Roman"/>
          <w:sz w:val="28"/>
          <w:szCs w:val="28"/>
          <w:lang w:val="uk-UA"/>
        </w:rPr>
        <w:t>громадською організацією</w:t>
      </w:r>
      <w:r w:rsidR="00443DAE" w:rsidRPr="00443DAE">
        <w:rPr>
          <w:rFonts w:ascii="Times New Roman" w:hAnsi="Times New Roman" w:cs="Times New Roman"/>
          <w:sz w:val="28"/>
          <w:szCs w:val="28"/>
        </w:rPr>
        <w:t xml:space="preserve"> </w:t>
      </w:r>
      <w:r w:rsidR="00443DAE">
        <w:rPr>
          <w:rFonts w:ascii="Times New Roman" w:hAnsi="Times New Roman" w:cs="Times New Roman"/>
          <w:sz w:val="28"/>
          <w:szCs w:val="28"/>
          <w:lang w:val="uk-UA"/>
        </w:rPr>
        <w:t>за минулий рік</w:t>
      </w:r>
      <w:r w:rsidR="008960CA">
        <w:rPr>
          <w:rFonts w:ascii="Times New Roman" w:hAnsi="Times New Roman" w:cs="Times New Roman"/>
          <w:sz w:val="28"/>
          <w:szCs w:val="28"/>
          <w:lang w:val="uk-UA"/>
        </w:rPr>
        <w:t xml:space="preserve">, згідно додатку до Порядку. </w:t>
      </w:r>
    </w:p>
    <w:p w:rsidR="0066638D" w:rsidRPr="004927E9" w:rsidRDefault="0066638D" w:rsidP="00727B5C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Управління має право отримувати від громадських організацій додаткові матеріали ( довідки, інформації тощо).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D5B61">
        <w:rPr>
          <w:rFonts w:ascii="Times New Roman" w:hAnsi="Times New Roman" w:cs="Times New Roman"/>
          <w:sz w:val="28"/>
          <w:szCs w:val="28"/>
          <w:lang w:val="uk-UA"/>
        </w:rPr>
        <w:t xml:space="preserve">       Управління має право розглядати подані після 1 вересня року,що передує періоду, в якому надається фінансова підтримка, заяви громадських організацій, утворених після закінчення зазначеного строку.</w:t>
      </w:r>
    </w:p>
    <w:p w:rsidR="0066638D" w:rsidRPr="008D0472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ED3CFE" w:rsidRDefault="0066638D" w:rsidP="00727B5C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CFE">
        <w:rPr>
          <w:rFonts w:ascii="Times New Roman" w:hAnsi="Times New Roman" w:cs="Times New Roman"/>
          <w:sz w:val="28"/>
          <w:szCs w:val="28"/>
          <w:lang w:val="uk-UA"/>
        </w:rPr>
        <w:t>Зазначені у п.4 цього Порядку документи засвідчуються підписом керівника, скріпленим печаткою громадської організації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(крім </w:t>
      </w:r>
      <w:r w:rsidRPr="00ED3CFE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опії</w:t>
      </w:r>
      <w:r w:rsidRPr="00ED3CFE">
        <w:rPr>
          <w:rFonts w:ascii="Times New Roman" w:hAnsi="Times New Roman" w:cs="Times New Roman"/>
          <w:sz w:val="28"/>
          <w:szCs w:val="28"/>
          <w:lang w:val="uk-UA"/>
        </w:rPr>
        <w:t xml:space="preserve"> статуту (положення) громадської організації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ED3C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638D" w:rsidRPr="004927E9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ED3CFE" w:rsidRDefault="0066638D" w:rsidP="00727B5C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CFE">
        <w:rPr>
          <w:rFonts w:ascii="Times New Roman" w:hAnsi="Times New Roman" w:cs="Times New Roman"/>
          <w:sz w:val="28"/>
          <w:szCs w:val="28"/>
          <w:lang w:val="uk-UA"/>
        </w:rPr>
        <w:t>Відповідальність за достовірність інфо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рмації </w:t>
      </w:r>
      <w:r w:rsidRPr="00ED3CFE">
        <w:rPr>
          <w:rFonts w:ascii="Times New Roman" w:hAnsi="Times New Roman" w:cs="Times New Roman"/>
          <w:sz w:val="28"/>
          <w:szCs w:val="28"/>
          <w:lang w:val="uk-UA"/>
        </w:rPr>
        <w:t>несе громадська організація.</w:t>
      </w:r>
    </w:p>
    <w:p w:rsidR="0066638D" w:rsidRDefault="0066638D" w:rsidP="00727B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4534">
        <w:rPr>
          <w:rFonts w:ascii="Times New Roman" w:hAnsi="Times New Roman" w:cs="Times New Roman"/>
          <w:sz w:val="28"/>
          <w:szCs w:val="28"/>
          <w:lang w:val="uk-UA"/>
        </w:rPr>
        <w:t>Розгляд  поданих громадськими організаціями  документів здійснюється Управлінням впродовж одного місяця з дня їх надходження. Про результати розгляду заяви Управління повідомляє громадську організацію у письмові формі.</w:t>
      </w:r>
    </w:p>
    <w:p w:rsidR="0066638D" w:rsidRPr="00384534" w:rsidRDefault="0066638D" w:rsidP="00727B5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384534" w:rsidRDefault="0066638D" w:rsidP="00727B5C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4534">
        <w:rPr>
          <w:rFonts w:ascii="Times New Roman" w:hAnsi="Times New Roman" w:cs="Times New Roman"/>
          <w:sz w:val="28"/>
          <w:szCs w:val="28"/>
          <w:lang w:val="uk-UA"/>
        </w:rPr>
        <w:t>Обсяг бюджетних коштів, що виділяються громадській організації, визначається з урахуванням:</w:t>
      </w:r>
    </w:p>
    <w:p w:rsidR="0066638D" w:rsidRPr="00384534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4534">
        <w:rPr>
          <w:rFonts w:ascii="Times New Roman" w:hAnsi="Times New Roman" w:cs="Times New Roman"/>
          <w:sz w:val="28"/>
          <w:szCs w:val="28"/>
          <w:lang w:val="uk-UA"/>
        </w:rPr>
        <w:t>актуальності та соціальної спрямованості заходів (програм) громадської організації;</w:t>
      </w:r>
    </w:p>
    <w:p w:rsidR="0066638D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11D5">
        <w:rPr>
          <w:rFonts w:ascii="Times New Roman" w:hAnsi="Times New Roman" w:cs="Times New Roman"/>
          <w:sz w:val="28"/>
          <w:szCs w:val="28"/>
          <w:lang w:val="uk-UA"/>
        </w:rPr>
        <w:t>відповідності запланованих заходів (програм) громадської організації пріоритетам державної політики у сфері соціального захисту інвалідів та ветеранів;</w:t>
      </w:r>
    </w:p>
    <w:p w:rsidR="0066638D" w:rsidRPr="00A711D5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11D5">
        <w:rPr>
          <w:rFonts w:ascii="Times New Roman" w:hAnsi="Times New Roman" w:cs="Times New Roman"/>
          <w:sz w:val="28"/>
          <w:szCs w:val="28"/>
          <w:lang w:val="uk-UA"/>
        </w:rPr>
        <w:t>результатів діяльності громадської організації в минулому році;</w:t>
      </w:r>
    </w:p>
    <w:p w:rsidR="0066638D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кількості членів громадської організації;</w:t>
      </w:r>
    </w:p>
    <w:p w:rsidR="0066638D" w:rsidRPr="00ED3CFE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CFE">
        <w:rPr>
          <w:rFonts w:ascii="Times New Roman" w:hAnsi="Times New Roman" w:cs="Times New Roman"/>
          <w:sz w:val="28"/>
          <w:szCs w:val="28"/>
          <w:lang w:val="uk-UA"/>
        </w:rPr>
        <w:t>співвідношення витрат та очікуваного результату від здійснення громадською організацією заходів (програм);</w:t>
      </w:r>
    </w:p>
    <w:p w:rsidR="0066638D" w:rsidRPr="00ED3CFE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CFE">
        <w:rPr>
          <w:rFonts w:ascii="Times New Roman" w:hAnsi="Times New Roman" w:cs="Times New Roman"/>
          <w:sz w:val="28"/>
          <w:szCs w:val="28"/>
          <w:lang w:val="uk-UA"/>
        </w:rPr>
        <w:t>детальних розрахунків та обґрунтувань за кожним напрямом використання бюджетних коштів, поданих громадською організацією;</w:t>
      </w:r>
    </w:p>
    <w:p w:rsidR="0066638D" w:rsidRPr="00ED3CFE" w:rsidRDefault="0066638D" w:rsidP="00727B5C">
      <w:pPr>
        <w:pStyle w:val="a3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CFE">
        <w:rPr>
          <w:rFonts w:ascii="Times New Roman" w:hAnsi="Times New Roman" w:cs="Times New Roman"/>
          <w:sz w:val="28"/>
          <w:szCs w:val="28"/>
          <w:lang w:val="uk-UA"/>
        </w:rPr>
        <w:t>наявності кадрового, матеріально-технічного та методичного забезпечення діяльності громадської організації.</w:t>
      </w:r>
    </w:p>
    <w:p w:rsidR="0066638D" w:rsidRPr="00675302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D870AE" w:rsidRDefault="0066638D" w:rsidP="00727B5C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70AE">
        <w:rPr>
          <w:rFonts w:ascii="Times New Roman" w:hAnsi="Times New Roman" w:cs="Times New Roman"/>
          <w:sz w:val="28"/>
          <w:szCs w:val="28"/>
          <w:lang w:val="uk-UA"/>
        </w:rPr>
        <w:t>Бюджетні кошти спрямовуються на:</w:t>
      </w:r>
    </w:p>
    <w:p w:rsidR="0066638D" w:rsidRDefault="0066638D" w:rsidP="00727B5C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B5C">
        <w:rPr>
          <w:rFonts w:ascii="Times New Roman" w:hAnsi="Times New Roman" w:cs="Times New Roman"/>
          <w:sz w:val="28"/>
          <w:szCs w:val="28"/>
          <w:lang w:val="uk-UA"/>
        </w:rPr>
        <w:t>Здійснення заходів з реалізації завдань, визначених статутом</w:t>
      </w:r>
    </w:p>
    <w:p w:rsidR="0066638D" w:rsidRPr="00727B5C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B5C">
        <w:rPr>
          <w:rFonts w:ascii="Times New Roman" w:hAnsi="Times New Roman" w:cs="Times New Roman"/>
          <w:sz w:val="28"/>
          <w:szCs w:val="28"/>
          <w:lang w:val="uk-UA"/>
        </w:rPr>
        <w:t>(положенням) громадської організації, і положень Конвенції про права осіб з інвалідністю, з нагоди Міжнародного дня осіб з інвалідністю, Дня ветеранів та людей похилого віку, фізкультурно-оздоровчих заходів, проведення зборів, тренінгів, курсів, навчальних семінарів, виставок, концертів, вечорів відпочинку, засідань за круглим столом (крім оплати фуршетів та банкетів) за умови участі у них переважної більшості осіб з інвалідністю і  ветеранів.</w:t>
      </w:r>
    </w:p>
    <w:p w:rsidR="0066638D" w:rsidRPr="00D870AE" w:rsidRDefault="0066638D" w:rsidP="00727B5C">
      <w:pPr>
        <w:pStyle w:val="a3"/>
        <w:numPr>
          <w:ilvl w:val="1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70AE">
        <w:rPr>
          <w:rFonts w:ascii="Times New Roman" w:hAnsi="Times New Roman" w:cs="Times New Roman"/>
          <w:sz w:val="28"/>
          <w:szCs w:val="28"/>
          <w:lang w:val="uk-UA"/>
        </w:rPr>
        <w:t>Здійснення заходів з відзначення Дня пам’яті та примирення, Дня перемоги у другій Світовій війні, відвідування військових поховань і військових пам’ятників, у тому числі придбання сувенірної продукції, книжок та квітів для ветеранів війни.</w:t>
      </w:r>
    </w:p>
    <w:p w:rsidR="0066638D" w:rsidRDefault="0066638D" w:rsidP="00727B5C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B5C">
        <w:rPr>
          <w:rFonts w:ascii="Times New Roman" w:hAnsi="Times New Roman" w:cs="Times New Roman"/>
          <w:sz w:val="28"/>
          <w:szCs w:val="28"/>
          <w:lang w:val="uk-UA"/>
        </w:rPr>
        <w:t>Сприяння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B5C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B5C">
        <w:rPr>
          <w:rFonts w:ascii="Times New Roman" w:hAnsi="Times New Roman" w:cs="Times New Roman"/>
          <w:sz w:val="28"/>
          <w:szCs w:val="28"/>
          <w:lang w:val="uk-UA"/>
        </w:rPr>
        <w:t xml:space="preserve"> художньої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B5C">
        <w:rPr>
          <w:rFonts w:ascii="Times New Roman" w:hAnsi="Times New Roman" w:cs="Times New Roman"/>
          <w:sz w:val="28"/>
          <w:szCs w:val="28"/>
          <w:lang w:val="uk-UA"/>
        </w:rPr>
        <w:t>самодіяльності,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B5C">
        <w:rPr>
          <w:rFonts w:ascii="Times New Roman" w:hAnsi="Times New Roman" w:cs="Times New Roman"/>
          <w:sz w:val="28"/>
          <w:szCs w:val="28"/>
          <w:lang w:val="uk-UA"/>
        </w:rPr>
        <w:t xml:space="preserve"> фізичної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B5C">
        <w:rPr>
          <w:rFonts w:ascii="Times New Roman" w:hAnsi="Times New Roman" w:cs="Times New Roman"/>
          <w:sz w:val="28"/>
          <w:szCs w:val="28"/>
          <w:lang w:val="uk-UA"/>
        </w:rPr>
        <w:t xml:space="preserve">культури </w:t>
      </w:r>
    </w:p>
    <w:p w:rsidR="0066638D" w:rsidRPr="00727B5C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B5C">
        <w:rPr>
          <w:rFonts w:ascii="Times New Roman" w:hAnsi="Times New Roman" w:cs="Times New Roman"/>
          <w:sz w:val="28"/>
          <w:szCs w:val="28"/>
          <w:lang w:val="uk-UA"/>
        </w:rPr>
        <w:t>серед членів громадських організацій.</w:t>
      </w:r>
    </w:p>
    <w:p w:rsidR="0066638D" w:rsidRPr="00D870AE" w:rsidRDefault="0066638D" w:rsidP="00727B5C">
      <w:pPr>
        <w:pStyle w:val="a3"/>
        <w:numPr>
          <w:ilvl w:val="1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70AE">
        <w:rPr>
          <w:rFonts w:ascii="Times New Roman" w:hAnsi="Times New Roman" w:cs="Times New Roman"/>
          <w:sz w:val="28"/>
          <w:szCs w:val="28"/>
          <w:lang w:val="uk-UA"/>
        </w:rPr>
        <w:t>Оплату матеріального заохочення (винагороди)  працівників громадської організації, які забезпечують роботу такої організації (голові громадської організації та на бухгалтерське забезпечення щомісяця в загальному обсязі, який не перевищує 50% мінімальної заробітної плати встановленої Законом України «Про Державний бюджет» на відповідний рік).</w:t>
      </w:r>
    </w:p>
    <w:p w:rsidR="0066638D" w:rsidRPr="002E4173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9.5.</w:t>
      </w:r>
      <w:r w:rsidRPr="002E4173">
        <w:rPr>
          <w:rFonts w:ascii="Times New Roman" w:hAnsi="Times New Roman" w:cs="Times New Roman"/>
          <w:sz w:val="28"/>
          <w:szCs w:val="28"/>
          <w:lang w:val="uk-UA"/>
        </w:rPr>
        <w:t>Оплати: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9.5.1. оренди приміщень, обладнання та інвентарю;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9.5.2. комунальних послуг;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9.5.3. послуг з поштового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електрозв</w:t>
      </w:r>
      <w:proofErr w:type="spellEnd"/>
      <w:r w:rsidRPr="0011178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9.5.4. транспортних послуг;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9.5.5. канцелярських виробів і витратних матеріалів;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9.5.6. передплати та придбання періодичних видань.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10.Громадським організаціям дозволяється використовувати бюджетні кошти лише для цілей, передбачених п.9 цього Порядку.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11.Розподіл бюджетних коштів здійснюється Управлінням відповідно до критеріїв, зазначених у п.8 цього Порядку та у межах коштів, виділених на цю мету на відповідний рік.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Громадські організації, яким у попередньому році надавалась фінансова підтримка, включаються до розподілу бюджетних коштів на наступний рік після подання Управлінню заяви на отримання фінансової підтримки (до 1 вересня) та звіту щодо використання бюджетних коштів за попередній рік з відповідними підтверджуючими документами.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 Громадські організації використовують бюджетні кошти на підставі плану використання бюджетних коштів, погодженого головним розпорядником бюджетних коштів на відповідний рік.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 Закупівля товарів, робіт і послуг за рахунок коштів міського бюджету здійснюється в установленому законодавством порядку.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Проведення операцій,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Pr="0067530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бюджетних коштів, здійснюється у порядку, встановленому Державною казначейською службою України.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 Складання та подання фінансової звітності про використанні  бюджетних коштів здійснюється в установленому законодавством порядку. Контроль за цільовим витрачанням бюджетних коштів покладається на Управління.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 Крім фінансової звітності, громадські організації подають в Управління остаточний звіт про використання бюджетних коштів за попередній рік, отриманих на фінансову підтримку до 1 лютого наступного року 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звітності додаються підтверджуючі документи (завірені у встановленому порядку їх копії), що свідчать про належне проведення заходів, спрямованих на реалізацію статутних завдань та інших видатків.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18. Фінансова підтримка, використана не за цільовим призначенням, підлягає поверненню. У разі відмови від добровільного повернення коштів питання про їх повернення вирішується у судовому порядку за позовом Управління.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19. З метою контролю за цільовим та раціональним використанням коштів Управління має право одержувати у встановленому порядку від органів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виконавчої влади, органів місцевого самоврядування, підприємств, установ та організацій необхідну інформацію.</w:t>
      </w: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Порядок </w:t>
      </w:r>
      <w:r w:rsidRPr="00E40590">
        <w:rPr>
          <w:rFonts w:ascii="Times New Roman" w:hAnsi="Times New Roman" w:cs="Times New Roman"/>
          <w:sz w:val="28"/>
          <w:szCs w:val="28"/>
          <w:lang w:val="uk-UA"/>
        </w:rPr>
        <w:t>використання коштів, передба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чених в міському бюджеті для </w:t>
      </w:r>
      <w:r w:rsidRPr="00E40590">
        <w:rPr>
          <w:rFonts w:ascii="Times New Roman" w:hAnsi="Times New Roman" w:cs="Times New Roman"/>
          <w:sz w:val="28"/>
          <w:szCs w:val="28"/>
          <w:lang w:val="uk-UA"/>
        </w:rPr>
        <w:t>нада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ння фінансової підтримки </w:t>
      </w:r>
      <w:r w:rsidRPr="00E40590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громадським орг</w:t>
      </w:r>
      <w:r>
        <w:rPr>
          <w:rFonts w:ascii="Times New Roman" w:hAnsi="Times New Roman" w:cs="Times New Roman"/>
          <w:sz w:val="28"/>
          <w:szCs w:val="28"/>
          <w:lang w:val="uk-UA"/>
        </w:rPr>
        <w:t>анізаціям осіб з інвалідністю і ветеранів підготовлено Управлінням праці та соціального захисту населення Бахмутської міської ради.</w:t>
      </w:r>
    </w:p>
    <w:p w:rsidR="0066638D" w:rsidRDefault="0066638D" w:rsidP="00727B5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727B5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праці та                                 І.В.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</w:p>
    <w:p w:rsidR="0066638D" w:rsidRDefault="0066638D" w:rsidP="00727B5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соціального захисту населення</w:t>
      </w:r>
    </w:p>
    <w:p w:rsidR="0066638D" w:rsidRDefault="0066638D" w:rsidP="00727B5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</w:t>
      </w:r>
    </w:p>
    <w:p w:rsidR="0066638D" w:rsidRDefault="0066638D" w:rsidP="00727B5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382C95" w:rsidRDefault="0066638D" w:rsidP="00727B5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                          С.І.Кіщенко</w:t>
      </w:r>
    </w:p>
    <w:p w:rsidR="0066638D" w:rsidRDefault="0066638D" w:rsidP="00206A2B">
      <w:pPr>
        <w:spacing w:after="0" w:line="218" w:lineRule="auto"/>
        <w:jc w:val="both"/>
        <w:rPr>
          <w:b/>
          <w:bCs/>
          <w:snapToGrid w:val="0"/>
          <w:sz w:val="26"/>
          <w:szCs w:val="26"/>
          <w:lang w:val="uk-UA"/>
        </w:rPr>
      </w:pPr>
    </w:p>
    <w:p w:rsidR="0066638D" w:rsidRPr="00206A2B" w:rsidRDefault="006663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28" w:type="dxa"/>
        <w:tblInd w:w="-106" w:type="dxa"/>
        <w:tblLook w:val="00A0"/>
      </w:tblPr>
      <w:tblGrid>
        <w:gridCol w:w="9428"/>
      </w:tblGrid>
      <w:tr w:rsidR="0066638D" w:rsidRPr="002D327E" w:rsidTr="00F246D6">
        <w:tc>
          <w:tcPr>
            <w:tcW w:w="9428" w:type="dxa"/>
            <w:shd w:val="clear" w:color="auto" w:fill="FFFFFF"/>
          </w:tcPr>
          <w:p w:rsidR="0066638D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246D6" w:rsidRDefault="00F246D6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246D6" w:rsidRDefault="00F246D6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246D6" w:rsidRDefault="00F246D6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246D6" w:rsidRPr="008E67B6" w:rsidRDefault="00F246D6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66638D" w:rsidRPr="008E67B6" w:rsidRDefault="0066638D" w:rsidP="00F246D6">
            <w:pPr>
              <w:spacing w:after="0" w:line="240" w:lineRule="auto"/>
              <w:ind w:left="549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E67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Додаток</w:t>
            </w:r>
          </w:p>
          <w:p w:rsidR="0066638D" w:rsidRDefault="0066638D" w:rsidP="00F246D6">
            <w:pPr>
              <w:spacing w:after="0" w:line="240" w:lineRule="auto"/>
              <w:ind w:left="549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67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Порядку використ</w:t>
            </w:r>
            <w:r w:rsidR="00F246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ання коштів, передбачених в місь</w:t>
            </w:r>
            <w:r w:rsidRPr="008E67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 бюджеті для надання фінансової підтримки громадським організаціям осіб з інвалідністю і ветеранів</w:t>
            </w:r>
            <w:r w:rsidR="00F246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затверджен</w:t>
            </w:r>
            <w:r w:rsidR="009E2E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="00F246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рішенням Бахмутської міської ради</w:t>
            </w:r>
          </w:p>
          <w:p w:rsidR="00F246D6" w:rsidRPr="008E67B6" w:rsidRDefault="00F246D6" w:rsidP="00F246D6">
            <w:pPr>
              <w:spacing w:after="0" w:line="240" w:lineRule="auto"/>
              <w:ind w:left="549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_____________№__________</w:t>
            </w:r>
          </w:p>
        </w:tc>
      </w:tr>
    </w:tbl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Звіт</w:t>
      </w:r>
    </w:p>
    <w:p w:rsidR="0066638D" w:rsidRDefault="0066638D" w:rsidP="0018371C">
      <w:pPr>
        <w:pBdr>
          <w:bottom w:val="single" w:sz="12" w:space="1" w:color="auto"/>
        </w:pBd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використання бюджетних коштів громадською організацією</w:t>
      </w:r>
    </w:p>
    <w:p w:rsidR="0066638D" w:rsidRDefault="0066638D" w:rsidP="0018371C">
      <w:pPr>
        <w:pBdr>
          <w:bottom w:val="single" w:sz="12" w:space="1" w:color="auto"/>
        </w:pBd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</w:r>
    </w:p>
    <w:p w:rsidR="0066638D" w:rsidRDefault="0066638D" w:rsidP="004A1A77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4A1A77">
      <w:pPr>
        <w:spacing w:after="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Pr="004A1A77">
        <w:rPr>
          <w:rFonts w:ascii="Times New Roman" w:hAnsi="Times New Roman" w:cs="Times New Roman"/>
          <w:lang w:val="uk-UA"/>
        </w:rPr>
        <w:t>айменування організації</w:t>
      </w:r>
    </w:p>
    <w:p w:rsidR="0066638D" w:rsidRPr="004A1A77" w:rsidRDefault="0066638D" w:rsidP="004A1A77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за____________________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___(період)</w:t>
      </w:r>
    </w:p>
    <w:p w:rsidR="0066638D" w:rsidRDefault="0066638D" w:rsidP="0018371C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82"/>
        <w:gridCol w:w="3686"/>
        <w:gridCol w:w="1559"/>
        <w:gridCol w:w="1559"/>
        <w:gridCol w:w="1544"/>
      </w:tblGrid>
      <w:tr w:rsidR="0066638D" w:rsidRPr="008E67B6">
        <w:tc>
          <w:tcPr>
            <w:tcW w:w="882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E67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</w:t>
            </w:r>
          </w:p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E67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686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E67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Найменування видатків</w:t>
            </w: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E67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E67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вартість</w:t>
            </w:r>
          </w:p>
        </w:tc>
        <w:tc>
          <w:tcPr>
            <w:tcW w:w="1525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8E67B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Сума,грн..</w:t>
            </w:r>
          </w:p>
        </w:tc>
      </w:tr>
      <w:tr w:rsidR="0066638D" w:rsidRPr="008E67B6">
        <w:tc>
          <w:tcPr>
            <w:tcW w:w="882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638D" w:rsidRPr="008E67B6">
        <w:tc>
          <w:tcPr>
            <w:tcW w:w="882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638D" w:rsidRPr="008E67B6">
        <w:tc>
          <w:tcPr>
            <w:tcW w:w="882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638D" w:rsidRPr="008E67B6">
        <w:tc>
          <w:tcPr>
            <w:tcW w:w="882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638D" w:rsidRPr="008E67B6">
        <w:tc>
          <w:tcPr>
            <w:tcW w:w="882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66638D" w:rsidRPr="008E67B6" w:rsidRDefault="0066638D" w:rsidP="008E67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6638D" w:rsidRDefault="0066638D" w:rsidP="00D32A3B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D32A3B" w:rsidRDefault="0066638D" w:rsidP="00D32A3B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Pr="000B4244" w:rsidRDefault="0066638D" w:rsidP="000B424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638D" w:rsidRDefault="0066638D" w:rsidP="00206A2B">
      <w:pPr>
        <w:pStyle w:val="a3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Керівник___________________________   ____________________</w:t>
      </w:r>
    </w:p>
    <w:p w:rsidR="0066638D" w:rsidRPr="004A1A77" w:rsidRDefault="0066638D" w:rsidP="00206A2B">
      <w:pPr>
        <w:pStyle w:val="a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4A1A7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                      (підпис)                        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    </w:t>
      </w:r>
      <w:r w:rsidRPr="004A1A7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           (прізвище та ініціали)</w:t>
      </w:r>
    </w:p>
    <w:p w:rsidR="0066638D" w:rsidRPr="008548B1" w:rsidRDefault="0066638D" w:rsidP="00206A2B">
      <w:pPr>
        <w:pStyle w:val="a3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66638D" w:rsidRDefault="0066638D" w:rsidP="00206A2B">
      <w:pPr>
        <w:pStyle w:val="a3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Головний бухгалтер____________________</w:t>
      </w:r>
    </w:p>
    <w:p w:rsidR="0066638D" w:rsidRDefault="0066638D" w:rsidP="00206A2B">
      <w:pPr>
        <w:pStyle w:val="a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                                           </w:t>
      </w:r>
      <w:r w:rsidRPr="004A1A77">
        <w:rPr>
          <w:rFonts w:ascii="Times New Roman" w:hAnsi="Times New Roman" w:cs="Times New Roman"/>
          <w:spacing w:val="-1"/>
          <w:sz w:val="24"/>
          <w:szCs w:val="24"/>
          <w:lang w:val="uk-UA"/>
        </w:rPr>
        <w:t>( підпис)</w:t>
      </w:r>
    </w:p>
    <w:p w:rsidR="00F246D6" w:rsidRDefault="00F246D6" w:rsidP="00F246D6">
      <w:pPr>
        <w:pStyle w:val="a3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Начальник Управління праці та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ab/>
        <w:t>І.В.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Сподіна</w:t>
      </w:r>
      <w:proofErr w:type="spellEnd"/>
    </w:p>
    <w:p w:rsidR="00F246D6" w:rsidRDefault="00F246D6" w:rsidP="00F246D6">
      <w:pPr>
        <w:pStyle w:val="a3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соціального захисту населення</w:t>
      </w:r>
    </w:p>
    <w:p w:rsidR="00F246D6" w:rsidRDefault="00F246D6" w:rsidP="00F246D6">
      <w:pPr>
        <w:pStyle w:val="a3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Бахмутської міської ради</w:t>
      </w:r>
    </w:p>
    <w:p w:rsidR="00F246D6" w:rsidRPr="00F246D6" w:rsidRDefault="00F246D6" w:rsidP="00206A2B">
      <w:pPr>
        <w:pStyle w:val="a3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</w:p>
    <w:p w:rsidR="00F246D6" w:rsidRPr="004A1A77" w:rsidRDefault="00F246D6" w:rsidP="00206A2B">
      <w:pPr>
        <w:pStyle w:val="a3"/>
        <w:jc w:val="both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sectPr w:rsidR="00F246D6" w:rsidRPr="004A1A77" w:rsidSect="001754AA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4E7"/>
    <w:multiLevelType w:val="hybridMultilevel"/>
    <w:tmpl w:val="69C89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B2A7A"/>
    <w:multiLevelType w:val="hybridMultilevel"/>
    <w:tmpl w:val="3454010E"/>
    <w:lvl w:ilvl="0" w:tplc="D166F65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2CA907B9"/>
    <w:multiLevelType w:val="multilevel"/>
    <w:tmpl w:val="1E8A1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0445130"/>
    <w:multiLevelType w:val="hybridMultilevel"/>
    <w:tmpl w:val="4EF47898"/>
    <w:lvl w:ilvl="0" w:tplc="FF34FC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38CE05C8"/>
    <w:multiLevelType w:val="hybridMultilevel"/>
    <w:tmpl w:val="4F1E943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B642DA"/>
    <w:multiLevelType w:val="hybridMultilevel"/>
    <w:tmpl w:val="FC8640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704EA"/>
    <w:multiLevelType w:val="multilevel"/>
    <w:tmpl w:val="8B1ACEFC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7">
    <w:nsid w:val="65A7781C"/>
    <w:multiLevelType w:val="hybridMultilevel"/>
    <w:tmpl w:val="E302772E"/>
    <w:lvl w:ilvl="0" w:tplc="2438B9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5162BCA"/>
    <w:multiLevelType w:val="hybridMultilevel"/>
    <w:tmpl w:val="40CC5962"/>
    <w:lvl w:ilvl="0" w:tplc="6C3EF4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F5C4BF9"/>
    <w:multiLevelType w:val="multilevel"/>
    <w:tmpl w:val="81006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3325"/>
    <w:rsid w:val="00017B03"/>
    <w:rsid w:val="00096A10"/>
    <w:rsid w:val="000B4244"/>
    <w:rsid w:val="000F45B4"/>
    <w:rsid w:val="00110DE4"/>
    <w:rsid w:val="00111781"/>
    <w:rsid w:val="00135589"/>
    <w:rsid w:val="001754AA"/>
    <w:rsid w:val="00181825"/>
    <w:rsid w:val="0018371C"/>
    <w:rsid w:val="001E7803"/>
    <w:rsid w:val="0020308C"/>
    <w:rsid w:val="00206A2B"/>
    <w:rsid w:val="002424D0"/>
    <w:rsid w:val="00246253"/>
    <w:rsid w:val="00274119"/>
    <w:rsid w:val="00277650"/>
    <w:rsid w:val="002A71B1"/>
    <w:rsid w:val="002D327E"/>
    <w:rsid w:val="002E4173"/>
    <w:rsid w:val="00317C36"/>
    <w:rsid w:val="00332EE1"/>
    <w:rsid w:val="00335623"/>
    <w:rsid w:val="00342761"/>
    <w:rsid w:val="00382C95"/>
    <w:rsid w:val="00384534"/>
    <w:rsid w:val="003B3325"/>
    <w:rsid w:val="003E273C"/>
    <w:rsid w:val="003F08EE"/>
    <w:rsid w:val="0041045C"/>
    <w:rsid w:val="00443DAE"/>
    <w:rsid w:val="00450A2A"/>
    <w:rsid w:val="004927E9"/>
    <w:rsid w:val="004A1A77"/>
    <w:rsid w:val="004B2082"/>
    <w:rsid w:val="004D09A7"/>
    <w:rsid w:val="004E6369"/>
    <w:rsid w:val="00503DC7"/>
    <w:rsid w:val="0051645E"/>
    <w:rsid w:val="00561D41"/>
    <w:rsid w:val="005843F3"/>
    <w:rsid w:val="00592CAE"/>
    <w:rsid w:val="005C553F"/>
    <w:rsid w:val="005D79B4"/>
    <w:rsid w:val="00607E41"/>
    <w:rsid w:val="0066638D"/>
    <w:rsid w:val="00675302"/>
    <w:rsid w:val="006A04C2"/>
    <w:rsid w:val="006B2AB0"/>
    <w:rsid w:val="006F7883"/>
    <w:rsid w:val="00713091"/>
    <w:rsid w:val="007176D6"/>
    <w:rsid w:val="00727B5C"/>
    <w:rsid w:val="00753FED"/>
    <w:rsid w:val="0076302A"/>
    <w:rsid w:val="007D3698"/>
    <w:rsid w:val="007D5B61"/>
    <w:rsid w:val="007E1C31"/>
    <w:rsid w:val="00810DEB"/>
    <w:rsid w:val="00852DCE"/>
    <w:rsid w:val="008548B1"/>
    <w:rsid w:val="00863F62"/>
    <w:rsid w:val="00884635"/>
    <w:rsid w:val="00890D23"/>
    <w:rsid w:val="008960CA"/>
    <w:rsid w:val="008D0472"/>
    <w:rsid w:val="008E67B6"/>
    <w:rsid w:val="008F6D01"/>
    <w:rsid w:val="009232FC"/>
    <w:rsid w:val="0099725F"/>
    <w:rsid w:val="009A5F46"/>
    <w:rsid w:val="009D2A7E"/>
    <w:rsid w:val="009E1D44"/>
    <w:rsid w:val="009E2E3C"/>
    <w:rsid w:val="00A711D5"/>
    <w:rsid w:val="00A8752D"/>
    <w:rsid w:val="00AE4C51"/>
    <w:rsid w:val="00AF1020"/>
    <w:rsid w:val="00B23E03"/>
    <w:rsid w:val="00B40087"/>
    <w:rsid w:val="00B81675"/>
    <w:rsid w:val="00BA6A21"/>
    <w:rsid w:val="00BD707F"/>
    <w:rsid w:val="00BF677A"/>
    <w:rsid w:val="00C021E1"/>
    <w:rsid w:val="00C30072"/>
    <w:rsid w:val="00C33C76"/>
    <w:rsid w:val="00C36D59"/>
    <w:rsid w:val="00C611D0"/>
    <w:rsid w:val="00C67371"/>
    <w:rsid w:val="00CF6036"/>
    <w:rsid w:val="00D32A3B"/>
    <w:rsid w:val="00D37F06"/>
    <w:rsid w:val="00D5140F"/>
    <w:rsid w:val="00D63C03"/>
    <w:rsid w:val="00D870AE"/>
    <w:rsid w:val="00DD5083"/>
    <w:rsid w:val="00DE38F8"/>
    <w:rsid w:val="00E01572"/>
    <w:rsid w:val="00E0552D"/>
    <w:rsid w:val="00E211C3"/>
    <w:rsid w:val="00E2192F"/>
    <w:rsid w:val="00E36BAE"/>
    <w:rsid w:val="00E40590"/>
    <w:rsid w:val="00E4103B"/>
    <w:rsid w:val="00E47332"/>
    <w:rsid w:val="00E725E5"/>
    <w:rsid w:val="00E72EEA"/>
    <w:rsid w:val="00ED3CFE"/>
    <w:rsid w:val="00F246D6"/>
    <w:rsid w:val="00F51451"/>
    <w:rsid w:val="00F51854"/>
    <w:rsid w:val="00F66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EA"/>
    <w:pPr>
      <w:spacing w:after="200" w:line="276" w:lineRule="auto"/>
    </w:pPr>
    <w:rPr>
      <w:rFonts w:cs="Calibri"/>
    </w:rPr>
  </w:style>
  <w:style w:type="paragraph" w:styleId="6">
    <w:name w:val="heading 6"/>
    <w:basedOn w:val="a"/>
    <w:next w:val="a"/>
    <w:link w:val="60"/>
    <w:uiPriority w:val="99"/>
    <w:qFormat/>
    <w:rsid w:val="003B3325"/>
    <w:pPr>
      <w:keepNext/>
      <w:spacing w:after="0" w:line="240" w:lineRule="auto"/>
      <w:jc w:val="center"/>
      <w:outlineLvl w:val="5"/>
    </w:pPr>
    <w:rPr>
      <w:rFonts w:cs="Times New Roman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3B3325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99"/>
    <w:qFormat/>
    <w:rsid w:val="003B3325"/>
    <w:pPr>
      <w:ind w:left="720"/>
    </w:pPr>
  </w:style>
  <w:style w:type="paragraph" w:styleId="a4">
    <w:name w:val="Balloon Text"/>
    <w:basedOn w:val="a"/>
    <w:link w:val="a5"/>
    <w:uiPriority w:val="99"/>
    <w:semiHidden/>
    <w:rsid w:val="003B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B332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18371C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9</Pages>
  <Words>1426</Words>
  <Characters>14321</Characters>
  <Application>Microsoft Office Word</Application>
  <DocSecurity>0</DocSecurity>
  <Lines>119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15716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ch14</cp:lastModifiedBy>
  <cp:revision>48</cp:revision>
  <cp:lastPrinted>2018-02-28T11:49:00Z</cp:lastPrinted>
  <dcterms:created xsi:type="dcterms:W3CDTF">2017-12-14T11:52:00Z</dcterms:created>
  <dcterms:modified xsi:type="dcterms:W3CDTF">2018-03-06T13:09:00Z</dcterms:modified>
</cp:coreProperties>
</file>