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D7F" w:rsidRDefault="009A5D7F" w:rsidP="00351B06">
      <w:pPr>
        <w:jc w:val="center"/>
        <w:rPr>
          <w:b/>
          <w:i/>
          <w:lang w:val="uk-UA"/>
        </w:rPr>
      </w:pPr>
    </w:p>
    <w:p w:rsidR="009A5D7F" w:rsidRDefault="009A5D7F" w:rsidP="00351B06">
      <w:pPr>
        <w:jc w:val="center"/>
        <w:rPr>
          <w:b/>
          <w:i/>
          <w:lang w:val="uk-UA"/>
        </w:rPr>
      </w:pPr>
    </w:p>
    <w:p w:rsidR="008B0606" w:rsidRDefault="00351B06" w:rsidP="008B0606">
      <w:pPr>
        <w:jc w:val="center"/>
        <w:rPr>
          <w:b/>
          <w:i/>
          <w:lang w:val="uk-UA"/>
        </w:rPr>
      </w:pPr>
      <w:r w:rsidRPr="00537C41">
        <w:rPr>
          <w:b/>
          <w:i/>
          <w:lang w:val="uk-UA"/>
        </w:rPr>
        <w:t xml:space="preserve">Звіт про відстеження результативності регуляторного акту </w:t>
      </w:r>
      <w:r w:rsidR="000E29B2">
        <w:rPr>
          <w:b/>
          <w:i/>
          <w:lang w:val="uk-UA"/>
        </w:rPr>
        <w:t xml:space="preserve">                              </w:t>
      </w:r>
    </w:p>
    <w:p w:rsidR="008B0606" w:rsidRDefault="008B0606" w:rsidP="008B0606">
      <w:pPr>
        <w:jc w:val="center"/>
        <w:rPr>
          <w:b/>
          <w:i/>
          <w:lang w:val="uk-UA"/>
        </w:rPr>
      </w:pPr>
    </w:p>
    <w:p w:rsidR="00351B06" w:rsidRPr="008B0606" w:rsidRDefault="008B0606" w:rsidP="008B0606">
      <w:pPr>
        <w:jc w:val="center"/>
        <w:rPr>
          <w:lang w:val="uk-UA"/>
        </w:rPr>
      </w:pPr>
      <w:r w:rsidRPr="008B0606">
        <w:rPr>
          <w:lang w:val="uk-UA"/>
        </w:rPr>
        <w:t>Тимчасове положення  про регулювання забудови м. Бахмута</w:t>
      </w:r>
    </w:p>
    <w:p w:rsidR="00351B06" w:rsidRPr="008B0606" w:rsidRDefault="00351B06" w:rsidP="00351B06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1B06" w:rsidRPr="00537C41" w:rsidRDefault="00351B06" w:rsidP="00351B06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7C41">
        <w:rPr>
          <w:rFonts w:ascii="Times New Roman" w:hAnsi="Times New Roman"/>
          <w:b/>
          <w:sz w:val="24"/>
          <w:szCs w:val="24"/>
          <w:lang w:val="uk-UA"/>
        </w:rPr>
        <w:t xml:space="preserve">1. Вид та назва регуляторного </w:t>
      </w:r>
      <w:proofErr w:type="spellStart"/>
      <w:r w:rsidRPr="00537C41">
        <w:rPr>
          <w:rFonts w:ascii="Times New Roman" w:hAnsi="Times New Roman"/>
          <w:b/>
          <w:sz w:val="24"/>
          <w:szCs w:val="24"/>
          <w:lang w:val="uk-UA"/>
        </w:rPr>
        <w:t>акта</w:t>
      </w:r>
      <w:proofErr w:type="spellEnd"/>
      <w:r w:rsidRPr="00537C41">
        <w:rPr>
          <w:rFonts w:ascii="Times New Roman" w:hAnsi="Times New Roman"/>
          <w:b/>
          <w:sz w:val="24"/>
          <w:szCs w:val="24"/>
          <w:lang w:val="uk-UA"/>
        </w:rPr>
        <w:t>, результативність якого відстежується, дата його прийняття та номер</w:t>
      </w:r>
      <w:r w:rsidR="008B0606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8B0606" w:rsidRPr="008B0606" w:rsidRDefault="008B0606" w:rsidP="008B0606">
      <w:pPr>
        <w:pStyle w:val="10"/>
        <w:autoSpaceDE w:val="0"/>
        <w:autoSpaceDN w:val="0"/>
        <w:spacing w:before="0" w:after="0"/>
        <w:jc w:val="both"/>
        <w:rPr>
          <w:rFonts w:eastAsia="Calibri"/>
          <w:snapToGrid/>
          <w:szCs w:val="24"/>
          <w:lang w:val="uk-UA" w:eastAsia="en-US"/>
        </w:rPr>
      </w:pPr>
      <w:r>
        <w:rPr>
          <w:rFonts w:eastAsia="Calibri"/>
          <w:snapToGrid/>
          <w:szCs w:val="24"/>
          <w:lang w:val="uk-UA" w:eastAsia="en-US"/>
        </w:rPr>
        <w:t xml:space="preserve">           </w:t>
      </w:r>
      <w:r w:rsidRPr="008B0606">
        <w:rPr>
          <w:rFonts w:eastAsia="Calibri"/>
          <w:snapToGrid/>
          <w:szCs w:val="24"/>
          <w:lang w:val="uk-UA" w:eastAsia="en-US"/>
        </w:rPr>
        <w:t>Тимчасове положення  про регулювання забудови м. Бахмута, затверджене рішенням Артемівської міської ради від 28.03.2012  №6/21 – 354, із змінами внесеними рішенням Бахмутської міської ради від 26.04.2017 №6/100-1858.</w:t>
      </w:r>
    </w:p>
    <w:p w:rsidR="00351B06" w:rsidRPr="00537C41" w:rsidRDefault="00351B06" w:rsidP="00351B06">
      <w:pPr>
        <w:ind w:firstLine="709"/>
        <w:jc w:val="both"/>
        <w:rPr>
          <w:b/>
          <w:lang w:val="uk-UA"/>
        </w:rPr>
      </w:pPr>
      <w:r w:rsidRPr="00537C41">
        <w:rPr>
          <w:b/>
          <w:lang w:val="uk-UA"/>
        </w:rPr>
        <w:t xml:space="preserve">2. Назва виконавця заходів з відстеження </w:t>
      </w:r>
    </w:p>
    <w:p w:rsidR="00351B06" w:rsidRPr="00537C41" w:rsidRDefault="00351B06" w:rsidP="00351B06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537C41">
        <w:rPr>
          <w:rFonts w:ascii="Times New Roman" w:hAnsi="Times New Roman"/>
          <w:sz w:val="24"/>
          <w:szCs w:val="24"/>
          <w:lang w:val="uk-UA"/>
        </w:rPr>
        <w:t xml:space="preserve">Управління муніципального розвитку </w:t>
      </w:r>
      <w:r>
        <w:rPr>
          <w:rFonts w:ascii="Times New Roman" w:hAnsi="Times New Roman"/>
          <w:sz w:val="24"/>
          <w:szCs w:val="24"/>
          <w:lang w:val="uk-UA"/>
        </w:rPr>
        <w:t xml:space="preserve">Бахмутської </w:t>
      </w:r>
      <w:r w:rsidRPr="00537C41">
        <w:rPr>
          <w:rFonts w:ascii="Times New Roman" w:hAnsi="Times New Roman"/>
          <w:sz w:val="24"/>
          <w:szCs w:val="24"/>
          <w:lang w:val="uk-UA"/>
        </w:rPr>
        <w:t xml:space="preserve"> міської ради.</w:t>
      </w:r>
    </w:p>
    <w:p w:rsidR="00351B06" w:rsidRPr="00537C41" w:rsidRDefault="00351B06" w:rsidP="00351B06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7C41">
        <w:rPr>
          <w:rFonts w:ascii="Times New Roman" w:hAnsi="Times New Roman"/>
          <w:b/>
          <w:sz w:val="24"/>
          <w:szCs w:val="24"/>
          <w:lang w:val="uk-UA"/>
        </w:rPr>
        <w:t>3. Цілі прийняття акт</w:t>
      </w:r>
      <w:r w:rsidR="00060A40">
        <w:rPr>
          <w:rFonts w:ascii="Times New Roman" w:hAnsi="Times New Roman"/>
          <w:b/>
          <w:sz w:val="24"/>
          <w:szCs w:val="24"/>
          <w:lang w:val="uk-UA"/>
        </w:rPr>
        <w:t>у</w:t>
      </w:r>
      <w:r w:rsidRPr="00537C41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</w:p>
    <w:p w:rsidR="005E73EC" w:rsidRPr="00640CB7" w:rsidRDefault="00351B06" w:rsidP="005E73EC">
      <w:pPr>
        <w:ind w:firstLine="840"/>
        <w:jc w:val="both"/>
        <w:rPr>
          <w:rFonts w:eastAsia="Calibri"/>
          <w:lang w:val="uk-UA" w:eastAsia="en-US"/>
        </w:rPr>
      </w:pPr>
      <w:r w:rsidRPr="00640CB7">
        <w:rPr>
          <w:rFonts w:eastAsia="Calibri"/>
          <w:lang w:val="uk-UA" w:eastAsia="en-US"/>
        </w:rPr>
        <w:t xml:space="preserve">- </w:t>
      </w:r>
      <w:r w:rsidR="005E73EC" w:rsidRPr="00640CB7">
        <w:rPr>
          <w:rFonts w:eastAsia="Calibri"/>
          <w:lang w:val="uk-UA" w:eastAsia="en-US"/>
        </w:rPr>
        <w:t xml:space="preserve">встановлення єдиного порядку підготовки, погодження, </w:t>
      </w:r>
      <w:r w:rsidR="00640CB7" w:rsidRPr="00640CB7">
        <w:rPr>
          <w:rFonts w:eastAsia="Calibri"/>
          <w:lang w:val="uk-UA" w:eastAsia="en-US"/>
        </w:rPr>
        <w:t xml:space="preserve">затвердження </w:t>
      </w:r>
      <w:r w:rsidR="005E73EC" w:rsidRPr="00640CB7">
        <w:rPr>
          <w:rFonts w:eastAsia="Calibri"/>
          <w:lang w:val="uk-UA" w:eastAsia="en-US"/>
        </w:rPr>
        <w:t xml:space="preserve">надання </w:t>
      </w:r>
      <w:r w:rsidR="00640CB7" w:rsidRPr="00640CB7">
        <w:rPr>
          <w:rFonts w:eastAsia="Calibri"/>
          <w:lang w:val="uk-UA" w:eastAsia="en-US"/>
        </w:rPr>
        <w:t xml:space="preserve"> суб’єктам містобудування документів, необхідних для вирішення </w:t>
      </w:r>
      <w:r w:rsidR="005E73EC" w:rsidRPr="00640CB7">
        <w:rPr>
          <w:rFonts w:eastAsia="Calibri"/>
          <w:lang w:val="uk-UA" w:eastAsia="en-US"/>
        </w:rPr>
        <w:t>питань планування, забудови та благоустрою території міста</w:t>
      </w:r>
      <w:r w:rsidR="00640CB7">
        <w:rPr>
          <w:rFonts w:eastAsia="Calibri"/>
          <w:lang w:val="uk-UA" w:eastAsia="en-US"/>
        </w:rPr>
        <w:t>, відповідно до вимого чинного законодавства</w:t>
      </w:r>
      <w:r w:rsidR="005E73EC" w:rsidRPr="00640CB7">
        <w:rPr>
          <w:rFonts w:eastAsia="Calibri"/>
          <w:lang w:val="uk-UA" w:eastAsia="en-US"/>
        </w:rPr>
        <w:t>.</w:t>
      </w:r>
    </w:p>
    <w:p w:rsidR="00351B06" w:rsidRPr="00537C41" w:rsidRDefault="00351B06" w:rsidP="00351B06">
      <w:pPr>
        <w:pStyle w:val="1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 w:rsidRPr="00537C41">
        <w:rPr>
          <w:rFonts w:ascii="Times New Roman" w:hAnsi="Times New Roman"/>
          <w:b/>
          <w:sz w:val="24"/>
          <w:szCs w:val="24"/>
          <w:lang w:val="uk-UA"/>
        </w:rPr>
        <w:t xml:space="preserve">4. Виконання заходів з відстеження </w:t>
      </w:r>
    </w:p>
    <w:p w:rsidR="00351B06" w:rsidRPr="00537C41" w:rsidRDefault="00060A40" w:rsidP="00351B06">
      <w:pPr>
        <w:pStyle w:val="1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 w:rsidR="00351B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6F7">
        <w:rPr>
          <w:rFonts w:ascii="Times New Roman" w:hAnsi="Times New Roman"/>
          <w:sz w:val="24"/>
          <w:szCs w:val="24"/>
          <w:lang w:val="uk-UA"/>
        </w:rPr>
        <w:t>01</w:t>
      </w:r>
      <w:r w:rsidR="00351B06" w:rsidRPr="00537C41">
        <w:rPr>
          <w:rFonts w:ascii="Times New Roman" w:hAnsi="Times New Roman"/>
          <w:sz w:val="24"/>
          <w:szCs w:val="24"/>
          <w:lang w:val="uk-UA"/>
        </w:rPr>
        <w:t>.</w:t>
      </w:r>
      <w:r w:rsidR="005256F7">
        <w:rPr>
          <w:rFonts w:ascii="Times New Roman" w:hAnsi="Times New Roman"/>
          <w:sz w:val="24"/>
          <w:szCs w:val="24"/>
          <w:lang w:val="uk-UA"/>
        </w:rPr>
        <w:t>01</w:t>
      </w:r>
      <w:r w:rsidR="00351B06">
        <w:rPr>
          <w:rFonts w:ascii="Times New Roman" w:hAnsi="Times New Roman"/>
          <w:sz w:val="24"/>
          <w:szCs w:val="24"/>
          <w:lang w:val="uk-UA"/>
        </w:rPr>
        <w:t>.201</w:t>
      </w:r>
      <w:r w:rsidR="00640CB7">
        <w:rPr>
          <w:rFonts w:ascii="Times New Roman" w:hAnsi="Times New Roman"/>
          <w:sz w:val="24"/>
          <w:szCs w:val="24"/>
          <w:lang w:val="uk-UA"/>
        </w:rPr>
        <w:t>9</w:t>
      </w:r>
      <w:r w:rsidR="00351B06" w:rsidRPr="00537C41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640CB7">
        <w:rPr>
          <w:rFonts w:ascii="Times New Roman" w:hAnsi="Times New Roman"/>
          <w:sz w:val="24"/>
          <w:szCs w:val="24"/>
          <w:lang w:val="uk-UA"/>
        </w:rPr>
        <w:t>30</w:t>
      </w:r>
      <w:r w:rsidR="00351B06" w:rsidRPr="00537C41">
        <w:rPr>
          <w:rFonts w:ascii="Times New Roman" w:hAnsi="Times New Roman"/>
          <w:sz w:val="24"/>
          <w:szCs w:val="24"/>
          <w:lang w:val="uk-UA"/>
        </w:rPr>
        <w:t>.</w:t>
      </w:r>
      <w:r w:rsidR="00640CB7">
        <w:rPr>
          <w:rFonts w:ascii="Times New Roman" w:hAnsi="Times New Roman"/>
          <w:sz w:val="24"/>
          <w:szCs w:val="24"/>
          <w:lang w:val="uk-UA"/>
        </w:rPr>
        <w:t>03</w:t>
      </w:r>
      <w:r w:rsidR="00351B06" w:rsidRPr="00537C41">
        <w:rPr>
          <w:rFonts w:ascii="Times New Roman" w:hAnsi="Times New Roman"/>
          <w:sz w:val="24"/>
          <w:szCs w:val="24"/>
          <w:lang w:val="uk-UA"/>
        </w:rPr>
        <w:t>.201</w:t>
      </w:r>
      <w:r w:rsidR="00640CB7">
        <w:rPr>
          <w:rFonts w:ascii="Times New Roman" w:hAnsi="Times New Roman"/>
          <w:sz w:val="24"/>
          <w:szCs w:val="24"/>
          <w:lang w:val="uk-UA"/>
        </w:rPr>
        <w:t>9</w:t>
      </w:r>
    </w:p>
    <w:p w:rsidR="00351B06" w:rsidRPr="00537C41" w:rsidRDefault="00351B06" w:rsidP="00351B06">
      <w:pPr>
        <w:pStyle w:val="1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7C41">
        <w:rPr>
          <w:rFonts w:ascii="Times New Roman" w:hAnsi="Times New Roman"/>
          <w:b/>
          <w:sz w:val="24"/>
          <w:szCs w:val="24"/>
          <w:lang w:val="uk-UA"/>
        </w:rPr>
        <w:t xml:space="preserve">5. Тип відстеження </w:t>
      </w:r>
    </w:p>
    <w:p w:rsidR="00351B06" w:rsidRPr="00537C41" w:rsidRDefault="00351B06" w:rsidP="00351B06">
      <w:pPr>
        <w:pStyle w:val="1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Періодичне </w:t>
      </w:r>
      <w:r w:rsidRPr="00537C41">
        <w:rPr>
          <w:rFonts w:ascii="Times New Roman" w:hAnsi="Times New Roman"/>
          <w:sz w:val="24"/>
          <w:szCs w:val="24"/>
          <w:lang w:val="uk-UA"/>
        </w:rPr>
        <w:t xml:space="preserve"> відстеження.</w:t>
      </w:r>
    </w:p>
    <w:p w:rsidR="00351B06" w:rsidRPr="00537C41" w:rsidRDefault="00351B06" w:rsidP="00351B06">
      <w:pPr>
        <w:pStyle w:val="1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7C41">
        <w:rPr>
          <w:rFonts w:ascii="Times New Roman" w:hAnsi="Times New Roman"/>
          <w:b/>
          <w:sz w:val="24"/>
          <w:szCs w:val="24"/>
          <w:lang w:val="uk-UA"/>
        </w:rPr>
        <w:t xml:space="preserve">6. Методи одержання результатів відстеження </w:t>
      </w:r>
    </w:p>
    <w:p w:rsidR="00351B06" w:rsidRPr="00537C41" w:rsidRDefault="00351B06" w:rsidP="00351B06">
      <w:pPr>
        <w:pStyle w:val="1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537C41">
        <w:rPr>
          <w:rFonts w:ascii="Times New Roman" w:hAnsi="Times New Roman"/>
          <w:sz w:val="24"/>
          <w:szCs w:val="24"/>
          <w:lang w:val="uk-UA"/>
        </w:rPr>
        <w:t>Під час проведення заходів з відстеження результативності застосовувався статистичний метод одержання результатів відстеження.</w:t>
      </w:r>
    </w:p>
    <w:p w:rsidR="00351B06" w:rsidRPr="00537C41" w:rsidRDefault="00351B06" w:rsidP="00351B06">
      <w:pPr>
        <w:pStyle w:val="1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7C41">
        <w:rPr>
          <w:rFonts w:ascii="Times New Roman" w:hAnsi="Times New Roman"/>
          <w:b/>
          <w:sz w:val="24"/>
          <w:szCs w:val="24"/>
          <w:lang w:val="uk-UA"/>
        </w:rPr>
        <w:t xml:space="preserve">7. Дані та припущення, на основі яких відстежувалась результативність, а також способи  одержання даних </w:t>
      </w:r>
    </w:p>
    <w:p w:rsidR="005256F7" w:rsidRPr="005256F7" w:rsidRDefault="00351B06" w:rsidP="005256F7">
      <w:pPr>
        <w:pStyle w:val="a8"/>
        <w:spacing w:before="0" w:beforeAutospacing="0" w:after="0" w:afterAutospacing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</w:pPr>
      <w:r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Відстеження результативності здійснювалось шляхом аналізу статичної інформації щодо кількості: </w:t>
      </w:r>
      <w:r w:rsidR="005256F7"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наданих містобудівних умов та обмежень </w:t>
      </w:r>
      <w:r w:rsidR="00DC74E3" w:rsidRPr="00DC74E3">
        <w:rPr>
          <w:rFonts w:ascii="Times New Roman" w:eastAsia="Calibri" w:hAnsi="Times New Roman"/>
          <w:color w:val="auto"/>
          <w:sz w:val="24"/>
          <w:szCs w:val="24"/>
          <w:lang w:val="uk-UA" w:eastAsia="en-US" w:bidi="uk-UA"/>
        </w:rPr>
        <w:t>для проектування об’єкта будівництва</w:t>
      </w:r>
      <w:r w:rsid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, надання паспортів прив</w:t>
      </w:r>
      <w:r w:rsidR="005256F7"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’</w:t>
      </w:r>
      <w:r w:rsidR="001B03DD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я</w:t>
      </w:r>
      <w:r w:rsid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зки  </w:t>
      </w:r>
      <w:r w:rsidR="005256F7"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тимчасових споруд  для провадження підприємницької діяльності,  надання або зміна поштових адрес об’єктам нерухомого майна, надання згоди на встановлення тимчасових гаражів легкового автотранспорту.</w:t>
      </w:r>
    </w:p>
    <w:p w:rsidR="00351B06" w:rsidRPr="00537C41" w:rsidRDefault="00351B06" w:rsidP="005256F7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1B06" w:rsidRPr="00537C41" w:rsidRDefault="00351B06" w:rsidP="00351B06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7C41">
        <w:rPr>
          <w:rFonts w:ascii="Times New Roman" w:hAnsi="Times New Roman"/>
          <w:b/>
          <w:sz w:val="24"/>
          <w:szCs w:val="24"/>
          <w:lang w:val="uk-UA"/>
        </w:rPr>
        <w:t>8. Кількісні та якісні значення показників результативності акт</w:t>
      </w:r>
      <w:r w:rsidR="000E29B2">
        <w:rPr>
          <w:rFonts w:ascii="Times New Roman" w:hAnsi="Times New Roman"/>
          <w:b/>
          <w:sz w:val="24"/>
          <w:szCs w:val="24"/>
          <w:lang w:val="uk-UA"/>
        </w:rPr>
        <w:t>у</w:t>
      </w:r>
      <w:r w:rsidR="005256F7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5256F7" w:rsidRDefault="005256F7" w:rsidP="005256F7">
      <w:pPr>
        <w:pStyle w:val="a8"/>
        <w:spacing w:before="0" w:beforeAutospacing="0" w:after="0" w:afterAutospacing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В </w:t>
      </w:r>
      <w:r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результат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і </w:t>
      </w:r>
      <w:r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аналізу статичної інформації 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за період проведення періодичного відстеження встановлено:</w:t>
      </w:r>
    </w:p>
    <w:p w:rsidR="00DC74E3" w:rsidRDefault="005256F7" w:rsidP="005256F7">
      <w:pPr>
        <w:pStyle w:val="a8"/>
        <w:spacing w:before="0" w:beforeAutospacing="0" w:after="0" w:afterAutospacing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-</w:t>
      </w:r>
      <w:r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</w:t>
      </w:r>
      <w:r w:rsidR="00DC74E3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кількість </w:t>
      </w:r>
      <w:r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надан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их</w:t>
      </w:r>
      <w:r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містобудівних умов та </w:t>
      </w:r>
      <w:r w:rsidR="00DC74E3" w:rsidRPr="00DC74E3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для проектування об’єкт</w:t>
      </w:r>
      <w:r w:rsidR="00DC74E3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ів</w:t>
      </w:r>
      <w:r w:rsidR="00DC74E3" w:rsidRPr="00DC74E3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будівництва- 5;</w:t>
      </w:r>
    </w:p>
    <w:p w:rsidR="00DC74E3" w:rsidRDefault="00DC74E3" w:rsidP="005256F7">
      <w:pPr>
        <w:pStyle w:val="a8"/>
        <w:spacing w:before="0" w:beforeAutospacing="0" w:after="0" w:afterAutospacing="0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</w:pPr>
      <w:r w:rsidRPr="00DC74E3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- кількість н</w:t>
      </w:r>
      <w:r w:rsid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адан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их </w:t>
      </w:r>
      <w:r w:rsid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паспортів прив</w:t>
      </w:r>
      <w:r w:rsidR="005256F7"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’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я</w:t>
      </w:r>
      <w:r w:rsid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зки </w:t>
      </w:r>
      <w:r w:rsidR="005256F7"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тимчасових споруд для провадження підприємницької діяльності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– 4;</w:t>
      </w:r>
    </w:p>
    <w:p w:rsidR="00D54D48" w:rsidRDefault="00DC74E3" w:rsidP="00D54D48">
      <w:pPr>
        <w:pStyle w:val="a8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- </w:t>
      </w:r>
      <w:proofErr w:type="spellStart"/>
      <w:r w:rsid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внесено</w:t>
      </w:r>
      <w:proofErr w:type="spellEnd"/>
      <w:r w:rsid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 зміни </w:t>
      </w:r>
      <w:r w:rsidR="00D54D48" w:rsidRP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в існуючу</w:t>
      </w:r>
      <w:r w:rsid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</w:t>
      </w:r>
      <w:r w:rsidR="00D54D48" w:rsidRP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нумерацію у забудові  м. Бахмута</w:t>
      </w:r>
      <w:r w:rsid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</w:t>
      </w:r>
      <w:r w:rsidR="00D54D48" w:rsidRP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і  присвоєн</w:t>
      </w:r>
      <w:r w:rsid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о</w:t>
      </w:r>
      <w:r w:rsidR="00D54D48" w:rsidRP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окремої  адреси об’єкт</w:t>
      </w:r>
      <w:r w:rsid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ам</w:t>
      </w:r>
      <w:r w:rsidR="00D54D48" w:rsidRP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</w:t>
      </w:r>
      <w:r w:rsid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нерухомого майна - 2;</w:t>
      </w:r>
    </w:p>
    <w:p w:rsidR="005256F7" w:rsidRPr="005256F7" w:rsidRDefault="00D54D48" w:rsidP="00D54D48">
      <w:pPr>
        <w:pStyle w:val="a8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</w:pPr>
      <w:r w:rsidRPr="00D54D48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- </w:t>
      </w:r>
      <w:r w:rsidR="005256F7"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надання згоди на встановлення тимчасових 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збірно-розбірних металевих </w:t>
      </w:r>
      <w:r w:rsidR="005256F7"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гаражів легкового автотранспорту</w:t>
      </w:r>
      <w:r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 xml:space="preserve"> - 2</w:t>
      </w:r>
      <w:r w:rsidR="005256F7" w:rsidRPr="005256F7">
        <w:rPr>
          <w:rFonts w:ascii="Times New Roman" w:eastAsia="Calibri" w:hAnsi="Times New Roman"/>
          <w:color w:val="auto"/>
          <w:sz w:val="24"/>
          <w:szCs w:val="24"/>
          <w:lang w:val="uk-UA" w:eastAsia="en-US"/>
        </w:rPr>
        <w:t>.</w:t>
      </w:r>
    </w:p>
    <w:p w:rsidR="00351B06" w:rsidRDefault="00351B06" w:rsidP="00351B06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37C41">
        <w:rPr>
          <w:rFonts w:ascii="Times New Roman" w:hAnsi="Times New Roman"/>
          <w:b/>
          <w:sz w:val="24"/>
          <w:szCs w:val="24"/>
          <w:lang w:val="uk-UA"/>
        </w:rPr>
        <w:t xml:space="preserve">9. Оцінка результатів реалізації регуляторного </w:t>
      </w:r>
      <w:proofErr w:type="spellStart"/>
      <w:r w:rsidRPr="00537C41">
        <w:rPr>
          <w:rFonts w:ascii="Times New Roman" w:hAnsi="Times New Roman"/>
          <w:b/>
          <w:sz w:val="24"/>
          <w:szCs w:val="24"/>
          <w:lang w:val="uk-UA"/>
        </w:rPr>
        <w:t>акта</w:t>
      </w:r>
      <w:proofErr w:type="spellEnd"/>
      <w:r w:rsidRPr="00537C41">
        <w:rPr>
          <w:rFonts w:ascii="Times New Roman" w:hAnsi="Times New Roman"/>
          <w:b/>
          <w:sz w:val="24"/>
          <w:szCs w:val="24"/>
          <w:lang w:val="uk-UA"/>
        </w:rPr>
        <w:t xml:space="preserve"> та ступеня досягнення визначених цілей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351B06" w:rsidRPr="00537C41" w:rsidRDefault="00351B06" w:rsidP="00351B06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537C41">
        <w:rPr>
          <w:rFonts w:ascii="Times New Roman" w:hAnsi="Times New Roman"/>
          <w:sz w:val="24"/>
          <w:szCs w:val="24"/>
          <w:lang w:val="uk-UA"/>
        </w:rPr>
        <w:t>Регуляторний акт має достатній рівень досягнення визначених цілей,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60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7C41">
        <w:rPr>
          <w:rFonts w:ascii="Times New Roman" w:hAnsi="Times New Roman"/>
          <w:sz w:val="24"/>
          <w:szCs w:val="24"/>
          <w:lang w:val="uk-UA"/>
        </w:rPr>
        <w:t>потребує змін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537C41">
        <w:rPr>
          <w:rFonts w:ascii="Times New Roman" w:hAnsi="Times New Roman"/>
          <w:sz w:val="24"/>
          <w:szCs w:val="24"/>
          <w:lang w:val="uk-UA"/>
        </w:rPr>
        <w:t xml:space="preserve"> доповнень</w:t>
      </w:r>
      <w:r w:rsidR="00D54D48">
        <w:rPr>
          <w:rFonts w:ascii="Times New Roman" w:hAnsi="Times New Roman"/>
          <w:sz w:val="24"/>
          <w:szCs w:val="24"/>
          <w:lang w:val="uk-UA"/>
        </w:rPr>
        <w:t>, у зв</w:t>
      </w:r>
      <w:r w:rsidR="00D54D48" w:rsidRPr="00D54D48">
        <w:rPr>
          <w:rFonts w:ascii="Times New Roman" w:hAnsi="Times New Roman"/>
          <w:sz w:val="24"/>
          <w:szCs w:val="24"/>
          <w:lang w:val="uk-UA"/>
        </w:rPr>
        <w:t>’</w:t>
      </w:r>
      <w:r w:rsidR="00D54D48">
        <w:rPr>
          <w:rFonts w:ascii="Times New Roman" w:hAnsi="Times New Roman"/>
          <w:sz w:val="24"/>
          <w:szCs w:val="24"/>
          <w:lang w:val="uk-UA"/>
        </w:rPr>
        <w:t xml:space="preserve">язку із внесенням змін </w:t>
      </w:r>
      <w:r w:rsidR="00D54D48" w:rsidRPr="00D54D48">
        <w:rPr>
          <w:rFonts w:ascii="Times New Roman" w:hAnsi="Times New Roman"/>
          <w:sz w:val="24"/>
          <w:szCs w:val="24"/>
          <w:lang w:val="uk-UA"/>
        </w:rPr>
        <w:t>до законодавства, що регулює відносини в сфері містобудування.</w:t>
      </w:r>
      <w:r w:rsidRPr="00537C4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1B06" w:rsidRDefault="00351B06" w:rsidP="00351B06">
      <w:pPr>
        <w:pStyle w:val="1"/>
        <w:tabs>
          <w:tab w:val="left" w:pos="993"/>
        </w:tabs>
        <w:spacing w:after="0" w:line="240" w:lineRule="auto"/>
        <w:ind w:left="0"/>
        <w:jc w:val="both"/>
        <w:rPr>
          <w:b/>
          <w:i/>
          <w:lang w:val="uk-UA"/>
        </w:rPr>
      </w:pPr>
    </w:p>
    <w:p w:rsidR="007738A0" w:rsidRDefault="001B03DD">
      <w:bookmarkStart w:id="0" w:name="_GoBack"/>
      <w:bookmarkEnd w:id="0"/>
    </w:p>
    <w:sectPr w:rsidR="007738A0" w:rsidSect="00D54D48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CC3"/>
    <w:rsid w:val="00060A40"/>
    <w:rsid w:val="000E29B2"/>
    <w:rsid w:val="00194E47"/>
    <w:rsid w:val="001B03DD"/>
    <w:rsid w:val="00351B06"/>
    <w:rsid w:val="005256F7"/>
    <w:rsid w:val="005E73EC"/>
    <w:rsid w:val="00640CB7"/>
    <w:rsid w:val="006A143D"/>
    <w:rsid w:val="006D6869"/>
    <w:rsid w:val="008B0606"/>
    <w:rsid w:val="009A5D7F"/>
    <w:rsid w:val="00C127C0"/>
    <w:rsid w:val="00CA7CC3"/>
    <w:rsid w:val="00D54D48"/>
    <w:rsid w:val="00D956D7"/>
    <w:rsid w:val="00DC74E3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D62C"/>
  <w15:chartTrackingRefBased/>
  <w15:docId w15:val="{13D44529-958A-4347-9F97-EF6C72C4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5D7F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1B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rsid w:val="00351B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">
    <w:name w:val="Font Style"/>
    <w:rsid w:val="00351B06"/>
    <w:rPr>
      <w:rFonts w:cs="Courier New"/>
      <w:color w:val="000000"/>
      <w:sz w:val="20"/>
      <w:szCs w:val="20"/>
    </w:rPr>
  </w:style>
  <w:style w:type="paragraph" w:styleId="a3">
    <w:name w:val="List Paragraph"/>
    <w:basedOn w:val="a"/>
    <w:qFormat/>
    <w:rsid w:val="00351B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9A5D7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4">
    <w:name w:val="Body Text"/>
    <w:basedOn w:val="a"/>
    <w:link w:val="a5"/>
    <w:rsid w:val="009A5D7F"/>
    <w:pPr>
      <w:spacing w:after="120"/>
    </w:pPr>
    <w:rPr>
      <w:lang w:val="uk-UA"/>
    </w:rPr>
  </w:style>
  <w:style w:type="character" w:customStyle="1" w:styleId="a5">
    <w:name w:val="Основной текст Знак"/>
    <w:basedOn w:val="a0"/>
    <w:link w:val="a4"/>
    <w:rsid w:val="009A5D7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B060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B0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8B0606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5256F7"/>
    <w:pPr>
      <w:spacing w:before="100" w:beforeAutospacing="1" w:after="100" w:afterAutospacing="1"/>
    </w:pPr>
    <w:rPr>
      <w:rFonts w:ascii="Verdana" w:hAnsi="Verdana"/>
      <w:color w:val="4B614B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1B03D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03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admin</cp:lastModifiedBy>
  <cp:revision>6</cp:revision>
  <cp:lastPrinted>2019-04-03T07:14:00Z</cp:lastPrinted>
  <dcterms:created xsi:type="dcterms:W3CDTF">2018-12-28T13:42:00Z</dcterms:created>
  <dcterms:modified xsi:type="dcterms:W3CDTF">2019-04-04T10:58:00Z</dcterms:modified>
</cp:coreProperties>
</file>