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F11C0F" w:rsidRPr="00437215">
        <w:rPr>
          <w:b/>
          <w:sz w:val="40"/>
          <w:szCs w:val="40"/>
          <w:lang w:val="uk-UA"/>
        </w:rPr>
        <w:t>1</w:t>
      </w:r>
      <w:r w:rsidR="00956AB0">
        <w:rPr>
          <w:b/>
          <w:sz w:val="40"/>
          <w:szCs w:val="40"/>
          <w:lang w:val="uk-UA"/>
        </w:rPr>
        <w:t>3</w:t>
      </w:r>
      <w:r w:rsidR="00E1191D">
        <w:rPr>
          <w:b/>
          <w:sz w:val="40"/>
          <w:szCs w:val="40"/>
          <w:lang w:val="uk-UA"/>
        </w:rPr>
        <w:t>5</w:t>
      </w:r>
      <w:r w:rsidR="00170571" w:rsidRPr="00437215">
        <w:rPr>
          <w:b/>
          <w:sz w:val="40"/>
          <w:szCs w:val="40"/>
          <w:lang w:val="uk-UA"/>
        </w:rPr>
        <w:t xml:space="preserve"> 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0E181E" w:rsidP="00D27736">
      <w:pPr>
        <w:rPr>
          <w:lang w:val="uk-UA"/>
        </w:rPr>
      </w:pPr>
      <w:r>
        <w:rPr>
          <w:lang w:val="uk-UA"/>
        </w:rPr>
        <w:t>27</w:t>
      </w:r>
      <w:r w:rsidR="004C560A" w:rsidRPr="00437215">
        <w:rPr>
          <w:lang w:val="uk-UA"/>
        </w:rPr>
        <w:t>.</w:t>
      </w:r>
      <w:r w:rsidR="00E1191D">
        <w:rPr>
          <w:lang w:val="uk-UA"/>
        </w:rPr>
        <w:t>11</w:t>
      </w:r>
      <w:r w:rsidR="004C560A" w:rsidRPr="00437215">
        <w:rPr>
          <w:lang w:val="uk-UA"/>
        </w:rPr>
        <w:t>.</w:t>
      </w:r>
      <w:r w:rsidR="00D27736" w:rsidRPr="00437215">
        <w:rPr>
          <w:lang w:val="uk-UA"/>
        </w:rPr>
        <w:t>201</w:t>
      </w:r>
      <w:r w:rsidR="00630389" w:rsidRPr="00437215">
        <w:rPr>
          <w:lang w:val="uk-UA"/>
        </w:rPr>
        <w:t>9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126D6B" w:rsidRPr="00437215">
        <w:rPr>
          <w:lang w:val="uk-UA"/>
        </w:rPr>
        <w:t>1</w:t>
      </w:r>
      <w:r w:rsidR="00956AB0">
        <w:rPr>
          <w:lang w:val="uk-UA"/>
        </w:rPr>
        <w:t>3</w:t>
      </w:r>
      <w:r w:rsidR="00E1191D">
        <w:rPr>
          <w:lang w:val="uk-UA"/>
        </w:rPr>
        <w:t>5</w:t>
      </w:r>
      <w:r w:rsidR="00B47751" w:rsidRPr="00437215">
        <w:rPr>
          <w:lang w:val="uk-UA"/>
        </w:rPr>
        <w:t>-</w:t>
      </w:r>
      <w:r w:rsidR="00D05424">
        <w:rPr>
          <w:lang w:val="uk-UA"/>
        </w:rPr>
        <w:t>2731</w:t>
      </w:r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r w:rsidR="005E30B0" w:rsidRPr="00437215">
        <w:rPr>
          <w:lang w:val="uk-UA"/>
        </w:rPr>
        <w:t>Бахмут</w:t>
      </w:r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0203E" w:rsidRPr="00646275" w:rsidRDefault="00D27736" w:rsidP="00A0203E">
      <w:pPr>
        <w:rPr>
          <w:b/>
          <w:bCs/>
          <w:i/>
          <w:iCs/>
          <w:sz w:val="28"/>
          <w:szCs w:val="28"/>
          <w:lang w:val="uk-UA"/>
        </w:rPr>
      </w:pPr>
      <w:r w:rsidRPr="009F1CA7">
        <w:rPr>
          <w:b/>
          <w:i/>
          <w:sz w:val="28"/>
          <w:szCs w:val="28"/>
          <w:lang w:val="uk-UA"/>
        </w:rPr>
        <w:t xml:space="preserve">Про </w:t>
      </w:r>
      <w:r w:rsidR="00F11C0F" w:rsidRPr="009F1CA7">
        <w:rPr>
          <w:b/>
          <w:i/>
          <w:sz w:val="28"/>
          <w:szCs w:val="28"/>
          <w:lang w:val="uk-UA"/>
        </w:rPr>
        <w:t xml:space="preserve">внесення змін до </w:t>
      </w:r>
      <w:r w:rsidR="00A0203E" w:rsidRPr="00646275"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A0203E" w:rsidRPr="00646275" w:rsidRDefault="00A0203E" w:rsidP="00A0203E">
      <w:pPr>
        <w:rPr>
          <w:b/>
          <w:bCs/>
          <w:i/>
          <w:iCs/>
          <w:sz w:val="28"/>
          <w:szCs w:val="28"/>
          <w:lang w:val="uk-UA"/>
        </w:rPr>
      </w:pPr>
      <w:r w:rsidRPr="00646275">
        <w:rPr>
          <w:b/>
          <w:bCs/>
          <w:i/>
          <w:iCs/>
          <w:sz w:val="28"/>
          <w:szCs w:val="28"/>
          <w:lang w:val="uk-UA"/>
        </w:rPr>
        <w:t>благоустрою міста Бахмут</w:t>
      </w:r>
      <w:r w:rsidRPr="00646275">
        <w:rPr>
          <w:b/>
          <w:bCs/>
          <w:i/>
          <w:iCs/>
          <w:sz w:val="28"/>
          <w:szCs w:val="28"/>
          <w:lang w:val="uk-UA"/>
        </w:rPr>
        <w:br/>
        <w:t>на 2016-2020 роки</w:t>
      </w:r>
    </w:p>
    <w:p w:rsidR="00D27736" w:rsidRPr="00437215" w:rsidRDefault="00D27736" w:rsidP="00A0203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F11C0F" w:rsidRPr="000E181E" w:rsidRDefault="00126D6B" w:rsidP="00A014D0">
      <w:pPr>
        <w:pStyle w:val="ae"/>
        <w:ind w:firstLine="709"/>
        <w:jc w:val="both"/>
        <w:rPr>
          <w:sz w:val="28"/>
          <w:szCs w:val="28"/>
          <w:lang w:val="uk-UA"/>
        </w:rPr>
      </w:pPr>
      <w:r w:rsidRPr="000E181E">
        <w:rPr>
          <w:sz w:val="28"/>
          <w:szCs w:val="28"/>
          <w:lang w:val="uk-UA"/>
        </w:rPr>
        <w:t xml:space="preserve">Заслухавши інформацію від </w:t>
      </w:r>
      <w:r w:rsidR="00E1191D" w:rsidRPr="000E181E">
        <w:rPr>
          <w:sz w:val="28"/>
          <w:szCs w:val="28"/>
          <w:lang w:val="uk-UA"/>
        </w:rPr>
        <w:t>24.10</w:t>
      </w:r>
      <w:r w:rsidR="006E5F20" w:rsidRPr="000E181E">
        <w:rPr>
          <w:sz w:val="28"/>
          <w:szCs w:val="28"/>
          <w:lang w:val="uk-UA"/>
        </w:rPr>
        <w:t xml:space="preserve">.2019 </w:t>
      </w:r>
      <w:r w:rsidRPr="000E181E">
        <w:rPr>
          <w:sz w:val="28"/>
          <w:szCs w:val="28"/>
          <w:lang w:val="uk-UA"/>
        </w:rPr>
        <w:t xml:space="preserve">№ </w:t>
      </w:r>
      <w:r w:rsidR="006E5F20" w:rsidRPr="000E181E">
        <w:rPr>
          <w:sz w:val="28"/>
          <w:szCs w:val="28"/>
          <w:lang w:val="uk-UA"/>
        </w:rPr>
        <w:t>01-</w:t>
      </w:r>
      <w:r w:rsidR="00E1191D" w:rsidRPr="000E181E">
        <w:rPr>
          <w:sz w:val="28"/>
          <w:szCs w:val="28"/>
          <w:lang w:val="uk-UA"/>
        </w:rPr>
        <w:t>6187</w:t>
      </w:r>
      <w:r w:rsidR="006E5F20" w:rsidRPr="000E181E">
        <w:rPr>
          <w:sz w:val="28"/>
          <w:szCs w:val="28"/>
          <w:lang w:val="uk-UA"/>
        </w:rPr>
        <w:t>-06</w:t>
      </w:r>
      <w:r w:rsidRPr="000E181E">
        <w:rPr>
          <w:sz w:val="28"/>
          <w:szCs w:val="28"/>
          <w:lang w:val="uk-UA"/>
        </w:rPr>
        <w:t xml:space="preserve"> </w:t>
      </w:r>
      <w:r w:rsidR="00F11C0F" w:rsidRPr="000E181E">
        <w:rPr>
          <w:sz w:val="28"/>
          <w:szCs w:val="28"/>
          <w:lang w:val="uk-UA"/>
        </w:rPr>
        <w:t xml:space="preserve">начальника </w:t>
      </w:r>
      <w:r w:rsidR="009415E1" w:rsidRPr="000E181E">
        <w:rPr>
          <w:sz w:val="28"/>
          <w:szCs w:val="28"/>
          <w:lang w:val="uk-UA"/>
        </w:rPr>
        <w:t xml:space="preserve">Управління </w:t>
      </w:r>
      <w:r w:rsidR="00A0203E" w:rsidRPr="000E181E">
        <w:rPr>
          <w:sz w:val="28"/>
          <w:szCs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841264" w:rsidRPr="000E181E">
        <w:rPr>
          <w:sz w:val="28"/>
          <w:szCs w:val="28"/>
          <w:lang w:val="uk-UA"/>
        </w:rPr>
        <w:t>Чорноіван</w:t>
      </w:r>
      <w:r w:rsidR="00240E92" w:rsidRPr="000E181E">
        <w:rPr>
          <w:sz w:val="28"/>
          <w:szCs w:val="28"/>
          <w:lang w:val="uk-UA"/>
        </w:rPr>
        <w:t>а</w:t>
      </w:r>
      <w:r w:rsidR="00841264" w:rsidRPr="000E181E">
        <w:rPr>
          <w:sz w:val="28"/>
          <w:szCs w:val="28"/>
          <w:lang w:val="uk-UA"/>
        </w:rPr>
        <w:t xml:space="preserve"> С</w:t>
      </w:r>
      <w:r w:rsidR="00F11C0F" w:rsidRPr="000E181E">
        <w:rPr>
          <w:sz w:val="28"/>
          <w:szCs w:val="28"/>
          <w:lang w:val="uk-UA"/>
        </w:rPr>
        <w:t>.</w:t>
      </w:r>
      <w:r w:rsidR="00841264" w:rsidRPr="000E181E">
        <w:rPr>
          <w:sz w:val="28"/>
          <w:szCs w:val="28"/>
          <w:lang w:val="uk-UA"/>
        </w:rPr>
        <w:t>П</w:t>
      </w:r>
      <w:r w:rsidR="00F11C0F" w:rsidRPr="000E181E">
        <w:rPr>
          <w:sz w:val="28"/>
          <w:szCs w:val="28"/>
          <w:lang w:val="uk-UA"/>
        </w:rPr>
        <w:t>.</w:t>
      </w:r>
      <w:r w:rsidR="00A0203E" w:rsidRPr="000E181E">
        <w:rPr>
          <w:sz w:val="28"/>
          <w:szCs w:val="28"/>
          <w:lang w:val="uk-UA"/>
        </w:rPr>
        <w:t xml:space="preserve"> </w:t>
      </w:r>
      <w:r w:rsidR="00F11C0F" w:rsidRPr="000E181E">
        <w:rPr>
          <w:sz w:val="28"/>
          <w:szCs w:val="28"/>
          <w:lang w:val="uk-UA"/>
        </w:rPr>
        <w:t xml:space="preserve">про внесення </w:t>
      </w:r>
      <w:r w:rsidR="00CB11CF" w:rsidRPr="000E181E">
        <w:rPr>
          <w:sz w:val="28"/>
          <w:szCs w:val="28"/>
          <w:lang w:val="uk-UA"/>
        </w:rPr>
        <w:t xml:space="preserve">змін до </w:t>
      </w:r>
      <w:r w:rsidR="00A0203E" w:rsidRPr="000E181E">
        <w:rPr>
          <w:sz w:val="28"/>
          <w:szCs w:val="28"/>
          <w:lang w:val="uk-UA"/>
        </w:rPr>
        <w:t>Програми благоустрою міста Бахмут на 2016-2020 роки</w:t>
      </w:r>
      <w:r w:rsidR="00CB11CF" w:rsidRPr="000E181E">
        <w:rPr>
          <w:sz w:val="28"/>
          <w:szCs w:val="28"/>
          <w:lang w:val="uk-UA"/>
        </w:rPr>
        <w:t xml:space="preserve">, затвердженої рішенням </w:t>
      </w:r>
      <w:r w:rsidR="00A0203E" w:rsidRPr="000E181E">
        <w:rPr>
          <w:sz w:val="28"/>
          <w:szCs w:val="28"/>
          <w:lang w:val="uk-UA"/>
        </w:rPr>
        <w:t>Бахмут</w:t>
      </w:r>
      <w:r w:rsidR="00CB11CF" w:rsidRPr="000E181E">
        <w:rPr>
          <w:sz w:val="28"/>
          <w:szCs w:val="28"/>
          <w:lang w:val="uk-UA"/>
        </w:rPr>
        <w:t>ської міської ради від 2</w:t>
      </w:r>
      <w:r w:rsidR="00240E92" w:rsidRPr="000E181E">
        <w:rPr>
          <w:sz w:val="28"/>
          <w:szCs w:val="28"/>
          <w:lang w:val="uk-UA"/>
        </w:rPr>
        <w:t>2</w:t>
      </w:r>
      <w:r w:rsidR="00CB11CF" w:rsidRPr="000E181E">
        <w:rPr>
          <w:sz w:val="28"/>
          <w:szCs w:val="28"/>
          <w:lang w:val="uk-UA"/>
        </w:rPr>
        <w:t>.0</w:t>
      </w:r>
      <w:r w:rsidR="00A0203E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>.201</w:t>
      </w:r>
      <w:r w:rsidR="00240E92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 xml:space="preserve"> №</w:t>
      </w:r>
      <w:r w:rsidR="00DE01CE" w:rsidRPr="000E181E">
        <w:rPr>
          <w:sz w:val="28"/>
          <w:szCs w:val="28"/>
          <w:lang w:val="uk-UA"/>
        </w:rPr>
        <w:t xml:space="preserve"> </w:t>
      </w:r>
      <w:r w:rsidR="00CB11CF" w:rsidRPr="000E181E">
        <w:rPr>
          <w:sz w:val="28"/>
          <w:szCs w:val="28"/>
          <w:lang w:val="uk-UA"/>
        </w:rPr>
        <w:t>6/</w:t>
      </w:r>
      <w:r w:rsidR="00240E92" w:rsidRPr="000E181E">
        <w:rPr>
          <w:sz w:val="28"/>
          <w:szCs w:val="28"/>
          <w:lang w:val="uk-UA"/>
        </w:rPr>
        <w:t>87</w:t>
      </w:r>
      <w:r w:rsidR="00CB11CF" w:rsidRPr="000E181E">
        <w:rPr>
          <w:sz w:val="28"/>
          <w:szCs w:val="28"/>
          <w:lang w:val="uk-UA"/>
        </w:rPr>
        <w:t>-1</w:t>
      </w:r>
      <w:r w:rsidR="00240E92" w:rsidRPr="000E181E">
        <w:rPr>
          <w:sz w:val="28"/>
          <w:szCs w:val="28"/>
          <w:lang w:val="uk-UA"/>
        </w:rPr>
        <w:t>546</w:t>
      </w:r>
      <w:r w:rsidR="00CB11CF" w:rsidRPr="000E181E">
        <w:rPr>
          <w:sz w:val="28"/>
          <w:szCs w:val="28"/>
          <w:lang w:val="uk-UA"/>
        </w:rPr>
        <w:t>,</w:t>
      </w:r>
      <w:r w:rsidR="00240E92" w:rsidRPr="000E181E">
        <w:rPr>
          <w:sz w:val="28"/>
          <w:szCs w:val="28"/>
          <w:lang w:val="uk-UA"/>
        </w:rPr>
        <w:t xml:space="preserve"> із внесеними до неї</w:t>
      </w:r>
      <w:r w:rsidR="00CB11CF" w:rsidRPr="000E181E">
        <w:rPr>
          <w:sz w:val="28"/>
          <w:szCs w:val="28"/>
          <w:lang w:val="uk-UA"/>
        </w:rPr>
        <w:t xml:space="preserve"> </w:t>
      </w:r>
      <w:r w:rsidR="00240E92" w:rsidRPr="000E181E">
        <w:rPr>
          <w:sz w:val="28"/>
          <w:szCs w:val="28"/>
          <w:lang w:val="uk-UA"/>
        </w:rPr>
        <w:t xml:space="preserve">змінами, </w:t>
      </w:r>
      <w:r w:rsidR="00950784" w:rsidRPr="000E181E">
        <w:rPr>
          <w:sz w:val="28"/>
          <w:szCs w:val="28"/>
          <w:lang w:val="uk-UA"/>
        </w:rPr>
        <w:t xml:space="preserve">враховуючи висновки: </w:t>
      </w:r>
      <w:r w:rsidR="00EF42D2" w:rsidRPr="000E181E">
        <w:rPr>
          <w:sz w:val="28"/>
          <w:szCs w:val="28"/>
          <w:lang w:val="uk-UA"/>
        </w:rPr>
        <w:t xml:space="preserve">Фінансового управління Бахмутської міської ради від 29.10.2019 № 03-29/632, </w:t>
      </w:r>
      <w:r w:rsidR="001F40CD" w:rsidRPr="000E181E">
        <w:rPr>
          <w:sz w:val="28"/>
          <w:szCs w:val="28"/>
          <w:lang w:val="uk-UA"/>
        </w:rPr>
        <w:t xml:space="preserve">Управління економічного розвитку Бахмутської міської ради від </w:t>
      </w:r>
      <w:r w:rsidR="00AE2629" w:rsidRPr="000E181E">
        <w:rPr>
          <w:sz w:val="28"/>
          <w:szCs w:val="28"/>
          <w:lang w:val="uk-UA"/>
        </w:rPr>
        <w:t>30.10.2019</w:t>
      </w:r>
      <w:r w:rsidR="00E1191D" w:rsidRPr="000E181E">
        <w:rPr>
          <w:sz w:val="28"/>
          <w:szCs w:val="28"/>
          <w:lang w:val="uk-UA"/>
        </w:rPr>
        <w:t xml:space="preserve"> </w:t>
      </w:r>
      <w:r w:rsidR="001F40CD" w:rsidRPr="000E181E">
        <w:rPr>
          <w:sz w:val="28"/>
          <w:szCs w:val="28"/>
          <w:lang w:val="uk-UA"/>
        </w:rPr>
        <w:t xml:space="preserve">№ </w:t>
      </w:r>
      <w:r w:rsidR="00AE2629" w:rsidRPr="000E181E">
        <w:rPr>
          <w:sz w:val="28"/>
          <w:szCs w:val="28"/>
          <w:lang w:val="uk-UA"/>
        </w:rPr>
        <w:t>687/02</w:t>
      </w:r>
      <w:r w:rsidR="00950784" w:rsidRPr="000E181E">
        <w:rPr>
          <w:sz w:val="28"/>
          <w:szCs w:val="28"/>
          <w:lang w:val="uk-UA"/>
        </w:rPr>
        <w:t xml:space="preserve">, </w:t>
      </w:r>
      <w:r w:rsidR="0042567C" w:rsidRPr="000E181E">
        <w:rPr>
          <w:sz w:val="28"/>
          <w:szCs w:val="28"/>
          <w:lang w:val="uk-UA"/>
        </w:rPr>
        <w:t>відповідно до Закону України від 06.09.2005 № 2807-IV «Про благоустрій населених пунктів», із внесеними до нього змінами,</w:t>
      </w:r>
      <w:r w:rsidR="00950784" w:rsidRPr="000E181E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</w:t>
      </w:r>
      <w:r w:rsidR="000E181E" w:rsidRPr="000E181E">
        <w:rPr>
          <w:sz w:val="28"/>
          <w:szCs w:val="28"/>
          <w:lang w:val="uk-UA"/>
        </w:rPr>
        <w:t xml:space="preserve"> рішення Бахмутської міської ради від 26.06.2019 № 6/131-2614 «Про добровільне приєднання територіальних громад до територіальної громади міста </w:t>
      </w:r>
      <w:proofErr w:type="spellStart"/>
      <w:r w:rsidR="000E181E" w:rsidRPr="000E181E">
        <w:rPr>
          <w:sz w:val="28"/>
          <w:szCs w:val="28"/>
          <w:lang w:val="uk-UA"/>
        </w:rPr>
        <w:t>Бахмута</w:t>
      </w:r>
      <w:proofErr w:type="spellEnd"/>
      <w:r w:rsidR="000E181E" w:rsidRPr="000E181E">
        <w:rPr>
          <w:sz w:val="28"/>
          <w:szCs w:val="28"/>
          <w:lang w:val="uk-UA"/>
        </w:rPr>
        <w:t xml:space="preserve"> Донецької області»,</w:t>
      </w:r>
      <w:r w:rsidR="00950784" w:rsidRPr="000E181E">
        <w:rPr>
          <w:sz w:val="28"/>
          <w:szCs w:val="28"/>
          <w:lang w:val="uk-UA"/>
        </w:rPr>
        <w:t xml:space="preserve"> </w:t>
      </w:r>
      <w:r w:rsidR="0042567C" w:rsidRPr="000E181E">
        <w:rPr>
          <w:sz w:val="28"/>
          <w:szCs w:val="28"/>
          <w:lang w:val="uk-UA"/>
        </w:rPr>
        <w:t>керуючись ст.26 Закону України від 21.05.</w:t>
      </w:r>
      <w:r w:rsidR="00950784" w:rsidRPr="000E181E">
        <w:rPr>
          <w:sz w:val="28"/>
          <w:szCs w:val="28"/>
          <w:lang w:val="uk-UA"/>
        </w:rPr>
        <w:t>19</w:t>
      </w:r>
      <w:r w:rsidR="0042567C" w:rsidRPr="000E181E">
        <w:rPr>
          <w:sz w:val="28"/>
          <w:szCs w:val="28"/>
          <w:lang w:val="uk-UA"/>
        </w:rPr>
        <w:t>97 №</w:t>
      </w:r>
      <w:r w:rsidR="00DE01CE" w:rsidRPr="000E181E">
        <w:rPr>
          <w:sz w:val="28"/>
          <w:szCs w:val="28"/>
          <w:lang w:val="uk-UA"/>
        </w:rPr>
        <w:t xml:space="preserve"> </w:t>
      </w:r>
      <w:r w:rsidR="0042567C" w:rsidRPr="000E181E">
        <w:rPr>
          <w:sz w:val="28"/>
          <w:szCs w:val="28"/>
          <w:lang w:val="uk-UA"/>
        </w:rPr>
        <w:t>280/97-ВР «Про місцеве самоврядування в Україні»</w:t>
      </w:r>
      <w:r w:rsidR="00A0203E" w:rsidRPr="000E181E">
        <w:rPr>
          <w:sz w:val="28"/>
          <w:szCs w:val="28"/>
          <w:lang w:val="uk-UA"/>
        </w:rPr>
        <w:t>,</w:t>
      </w:r>
      <w:r w:rsidR="008A5836" w:rsidRPr="000E181E">
        <w:rPr>
          <w:sz w:val="28"/>
          <w:szCs w:val="28"/>
          <w:lang w:val="uk-UA"/>
        </w:rPr>
        <w:t xml:space="preserve"> із внесеними до нього змінами, </w:t>
      </w:r>
      <w:r w:rsidR="00A0203E" w:rsidRPr="000E181E">
        <w:rPr>
          <w:sz w:val="28"/>
          <w:szCs w:val="28"/>
          <w:lang w:val="uk-UA"/>
        </w:rPr>
        <w:t>Бахмутська міська рада</w:t>
      </w:r>
    </w:p>
    <w:p w:rsidR="00534553" w:rsidRPr="009F1CA7" w:rsidRDefault="00534553" w:rsidP="00A014D0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A0203E" w:rsidRPr="00646275" w:rsidRDefault="00A0203E" w:rsidP="00A014D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646275">
        <w:rPr>
          <w:b/>
          <w:bCs/>
          <w:sz w:val="28"/>
          <w:szCs w:val="28"/>
          <w:lang w:val="uk-UA"/>
        </w:rPr>
        <w:t>В И Р І Ш И Л А:</w:t>
      </w:r>
    </w:p>
    <w:p w:rsidR="00534553" w:rsidRPr="00437215" w:rsidRDefault="00534553" w:rsidP="00A014D0">
      <w:pPr>
        <w:ind w:firstLine="851"/>
        <w:jc w:val="both"/>
        <w:rPr>
          <w:sz w:val="28"/>
          <w:szCs w:val="28"/>
          <w:lang w:val="uk-UA"/>
        </w:rPr>
      </w:pPr>
    </w:p>
    <w:p w:rsidR="00361C02" w:rsidRPr="00072453" w:rsidRDefault="00361C02" w:rsidP="00A014D0">
      <w:pPr>
        <w:pStyle w:val="ae"/>
        <w:jc w:val="both"/>
        <w:rPr>
          <w:spacing w:val="-2"/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Pr="00072453">
        <w:rPr>
          <w:spacing w:val="-2"/>
          <w:sz w:val="28"/>
          <w:lang w:val="uk-UA"/>
        </w:rPr>
        <w:t xml:space="preserve">1. </w:t>
      </w:r>
      <w:proofErr w:type="spellStart"/>
      <w:r w:rsidR="0025564A" w:rsidRPr="00072453">
        <w:rPr>
          <w:spacing w:val="-2"/>
          <w:sz w:val="28"/>
          <w:szCs w:val="28"/>
          <w:lang w:val="uk-UA"/>
        </w:rPr>
        <w:t>Внести</w:t>
      </w:r>
      <w:proofErr w:type="spellEnd"/>
      <w:r w:rsidR="00027A78" w:rsidRPr="00072453">
        <w:rPr>
          <w:spacing w:val="-2"/>
          <w:sz w:val="28"/>
          <w:szCs w:val="28"/>
          <w:lang w:val="uk-UA"/>
        </w:rPr>
        <w:t xml:space="preserve"> та </w:t>
      </w:r>
      <w:r w:rsidR="0025564A" w:rsidRPr="00072453">
        <w:rPr>
          <w:spacing w:val="-2"/>
          <w:sz w:val="28"/>
          <w:szCs w:val="28"/>
          <w:lang w:val="uk-UA"/>
        </w:rPr>
        <w:t>затверди</w:t>
      </w:r>
      <w:r w:rsidR="00027A78" w:rsidRPr="00072453">
        <w:rPr>
          <w:spacing w:val="-2"/>
          <w:sz w:val="28"/>
          <w:szCs w:val="28"/>
          <w:lang w:val="uk-UA"/>
        </w:rPr>
        <w:t xml:space="preserve">ти наступні </w:t>
      </w:r>
      <w:r w:rsidR="0025564A" w:rsidRPr="00072453">
        <w:rPr>
          <w:spacing w:val="-2"/>
          <w:sz w:val="28"/>
          <w:szCs w:val="28"/>
          <w:lang w:val="uk-UA"/>
        </w:rPr>
        <w:t xml:space="preserve">зміни до Програми благоустрою міста Бахмут на 2016-2020 роки, затвердженої рішенням Бахмутської міської ради від </w:t>
      </w:r>
      <w:r w:rsidR="00240E92" w:rsidRPr="00072453">
        <w:rPr>
          <w:spacing w:val="-2"/>
          <w:sz w:val="28"/>
          <w:szCs w:val="28"/>
          <w:lang w:val="uk-UA"/>
        </w:rPr>
        <w:t>22.06.2016 №</w:t>
      </w:r>
      <w:r w:rsidR="00DE01CE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072453">
        <w:rPr>
          <w:spacing w:val="-2"/>
          <w:sz w:val="28"/>
          <w:szCs w:val="28"/>
          <w:lang w:val="uk-UA"/>
        </w:rPr>
        <w:t>6/87-1546, із змінами</w:t>
      </w:r>
      <w:r w:rsidR="00B25487" w:rsidRPr="00072453">
        <w:rPr>
          <w:spacing w:val="-2"/>
          <w:sz w:val="28"/>
          <w:szCs w:val="28"/>
          <w:lang w:val="uk-UA"/>
        </w:rPr>
        <w:t>,</w:t>
      </w:r>
      <w:r w:rsidR="00240E92" w:rsidRPr="00072453">
        <w:rPr>
          <w:spacing w:val="-2"/>
          <w:sz w:val="28"/>
          <w:szCs w:val="28"/>
          <w:lang w:val="uk-UA"/>
        </w:rPr>
        <w:t xml:space="preserve"> внесеними до неї рішенням</w:t>
      </w:r>
      <w:r w:rsidR="00126D6B" w:rsidRPr="00072453">
        <w:rPr>
          <w:spacing w:val="-2"/>
          <w:sz w:val="28"/>
          <w:szCs w:val="28"/>
          <w:lang w:val="uk-UA"/>
        </w:rPr>
        <w:t>и</w:t>
      </w:r>
      <w:r w:rsidR="00240E92" w:rsidRPr="00072453">
        <w:rPr>
          <w:spacing w:val="-2"/>
          <w:sz w:val="28"/>
          <w:szCs w:val="28"/>
          <w:lang w:val="uk-UA"/>
        </w:rPr>
        <w:t xml:space="preserve"> Бахмутської міської ради</w:t>
      </w:r>
      <w:r w:rsidR="00EC290E" w:rsidRPr="00072453">
        <w:rPr>
          <w:spacing w:val="-2"/>
          <w:sz w:val="28"/>
          <w:szCs w:val="28"/>
          <w:lang w:val="uk-UA"/>
        </w:rPr>
        <w:t>:</w:t>
      </w:r>
      <w:r w:rsidR="00240E92" w:rsidRPr="00072453">
        <w:rPr>
          <w:spacing w:val="-2"/>
          <w:sz w:val="28"/>
          <w:szCs w:val="28"/>
          <w:lang w:val="uk-UA"/>
        </w:rPr>
        <w:t xml:space="preserve"> від </w:t>
      </w:r>
      <w:r w:rsidR="00072453" w:rsidRPr="00072453">
        <w:rPr>
          <w:spacing w:val="-2"/>
          <w:sz w:val="28"/>
          <w:szCs w:val="28"/>
          <w:lang w:val="uk-UA"/>
        </w:rPr>
        <w:t xml:space="preserve"> </w:t>
      </w:r>
      <w:r w:rsidR="00072453">
        <w:rPr>
          <w:spacing w:val="-2"/>
          <w:sz w:val="28"/>
          <w:szCs w:val="28"/>
          <w:lang w:val="uk-UA"/>
        </w:rPr>
        <w:t>27.06.2017</w:t>
      </w:r>
      <w:r w:rsidR="00072453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072453">
        <w:rPr>
          <w:spacing w:val="-2"/>
          <w:sz w:val="28"/>
          <w:szCs w:val="28"/>
          <w:lang w:val="uk-UA"/>
        </w:rPr>
        <w:t>№</w:t>
      </w:r>
      <w:r w:rsidR="00DE01CE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072453">
        <w:rPr>
          <w:spacing w:val="-2"/>
          <w:sz w:val="28"/>
          <w:szCs w:val="28"/>
          <w:lang w:val="uk-UA"/>
        </w:rPr>
        <w:t>6/102-1907</w:t>
      </w:r>
      <w:r w:rsidR="006878D2" w:rsidRPr="00072453">
        <w:rPr>
          <w:spacing w:val="-2"/>
          <w:sz w:val="28"/>
          <w:szCs w:val="28"/>
          <w:lang w:val="uk-UA"/>
        </w:rPr>
        <w:t xml:space="preserve">, </w:t>
      </w:r>
      <w:r w:rsidR="00B02B88" w:rsidRPr="00072453">
        <w:rPr>
          <w:spacing w:val="-2"/>
          <w:sz w:val="28"/>
          <w:szCs w:val="28"/>
          <w:lang w:val="uk-UA"/>
        </w:rPr>
        <w:t>від 27.03.2019</w:t>
      </w:r>
      <w:r w:rsidR="00072453" w:rsidRPr="00072453">
        <w:rPr>
          <w:spacing w:val="-2"/>
          <w:sz w:val="28"/>
          <w:szCs w:val="28"/>
          <w:lang w:val="uk-UA"/>
        </w:rPr>
        <w:t xml:space="preserve"> </w:t>
      </w:r>
      <w:r w:rsidR="00B02B88" w:rsidRPr="00072453">
        <w:rPr>
          <w:spacing w:val="-2"/>
          <w:sz w:val="28"/>
          <w:szCs w:val="28"/>
          <w:lang w:val="uk-UA"/>
        </w:rPr>
        <w:t>№</w:t>
      </w:r>
      <w:r w:rsidR="00072453" w:rsidRPr="00072453">
        <w:rPr>
          <w:spacing w:val="-2"/>
          <w:sz w:val="28"/>
          <w:szCs w:val="28"/>
          <w:lang w:val="uk-UA"/>
        </w:rPr>
        <w:t xml:space="preserve"> </w:t>
      </w:r>
      <w:r w:rsidR="00B02B88" w:rsidRPr="00072453">
        <w:rPr>
          <w:spacing w:val="-2"/>
          <w:sz w:val="28"/>
          <w:szCs w:val="28"/>
          <w:lang w:val="uk-UA"/>
        </w:rPr>
        <w:t>6/127-2506</w:t>
      </w:r>
      <w:r w:rsidR="00245F83" w:rsidRPr="00072453">
        <w:rPr>
          <w:spacing w:val="-2"/>
          <w:sz w:val="28"/>
          <w:szCs w:val="28"/>
          <w:lang w:val="uk-UA"/>
        </w:rPr>
        <w:t>, від 26.06.2019 № 6/131-2584</w:t>
      </w:r>
      <w:r w:rsidR="00E1191D" w:rsidRPr="00072453">
        <w:rPr>
          <w:spacing w:val="-2"/>
          <w:sz w:val="28"/>
          <w:szCs w:val="28"/>
          <w:lang w:val="uk-UA"/>
        </w:rPr>
        <w:t>, від 25.09.2019.№ 6/133-2663</w:t>
      </w:r>
      <w:r w:rsidR="0025564A" w:rsidRPr="00072453">
        <w:rPr>
          <w:spacing w:val="-2"/>
          <w:sz w:val="28"/>
          <w:szCs w:val="28"/>
          <w:lang w:val="uk-UA"/>
        </w:rPr>
        <w:t xml:space="preserve"> (далі – Програма)</w:t>
      </w:r>
      <w:r w:rsidR="001F369D" w:rsidRPr="00072453">
        <w:rPr>
          <w:spacing w:val="-2"/>
          <w:sz w:val="28"/>
          <w:szCs w:val="28"/>
          <w:lang w:val="uk-UA"/>
        </w:rPr>
        <w:t>:</w:t>
      </w:r>
    </w:p>
    <w:p w:rsidR="00E1191D" w:rsidRPr="003E4891" w:rsidRDefault="008602B7" w:rsidP="008602B7">
      <w:pPr>
        <w:pStyle w:val="ae"/>
        <w:numPr>
          <w:ilvl w:val="1"/>
          <w:numId w:val="20"/>
        </w:numPr>
        <w:ind w:left="0" w:firstLine="709"/>
        <w:jc w:val="both"/>
        <w:rPr>
          <w:spacing w:val="-4"/>
          <w:sz w:val="28"/>
          <w:szCs w:val="28"/>
          <w:lang w:val="uk-UA"/>
        </w:rPr>
      </w:pPr>
      <w:r w:rsidRPr="003E4891">
        <w:rPr>
          <w:spacing w:val="-4"/>
          <w:sz w:val="28"/>
          <w:szCs w:val="28"/>
          <w:lang w:val="uk-UA"/>
        </w:rPr>
        <w:lastRenderedPageBreak/>
        <w:t>Визначивши, що дія Програми поширюється на територію Бахмутської міської об’єднаної територіальної громади, у зв’язку із чим в назві Програми слова «міста Бахмут» виключити.</w:t>
      </w:r>
    </w:p>
    <w:p w:rsidR="00994DBE" w:rsidRDefault="00252ECE" w:rsidP="00A459F4">
      <w:pPr>
        <w:pStyle w:val="ae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C290E">
        <w:rPr>
          <w:sz w:val="28"/>
          <w:szCs w:val="28"/>
          <w:lang w:val="uk-UA"/>
        </w:rPr>
        <w:t>Р</w:t>
      </w:r>
      <w:r w:rsidR="00EC290E" w:rsidRPr="00361C02">
        <w:rPr>
          <w:sz w:val="28"/>
          <w:szCs w:val="28"/>
          <w:lang w:val="uk-UA"/>
        </w:rPr>
        <w:t>ядки 9</w:t>
      </w:r>
      <w:r w:rsidR="00EC290E">
        <w:rPr>
          <w:sz w:val="28"/>
          <w:szCs w:val="28"/>
          <w:lang w:val="uk-UA"/>
        </w:rPr>
        <w:t xml:space="preserve"> та 9.1 П</w:t>
      </w:r>
      <w:r w:rsidR="00361C02" w:rsidRPr="00361C02">
        <w:rPr>
          <w:sz w:val="28"/>
          <w:szCs w:val="28"/>
          <w:lang w:val="uk-UA"/>
        </w:rPr>
        <w:t>аспорт</w:t>
      </w:r>
      <w:r w:rsidR="00EC290E">
        <w:rPr>
          <w:sz w:val="28"/>
          <w:szCs w:val="28"/>
          <w:lang w:val="uk-UA"/>
        </w:rPr>
        <w:t>у</w:t>
      </w:r>
      <w:r w:rsidR="00361C02" w:rsidRPr="00361C02">
        <w:rPr>
          <w:sz w:val="28"/>
          <w:szCs w:val="28"/>
          <w:lang w:val="uk-UA"/>
        </w:rPr>
        <w:t xml:space="preserve"> Програми викласти у новій редакції:</w:t>
      </w:r>
    </w:p>
    <w:p w:rsidR="000E181E" w:rsidRDefault="000E181E" w:rsidP="000E181E">
      <w:pPr>
        <w:pStyle w:val="ae"/>
        <w:ind w:left="1129"/>
        <w:jc w:val="both"/>
        <w:rPr>
          <w:sz w:val="28"/>
          <w:szCs w:val="28"/>
          <w:lang w:val="uk-U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65"/>
        <w:gridCol w:w="4111"/>
      </w:tblGrid>
      <w:tr w:rsidR="00361C02" w:rsidRPr="00534553" w:rsidTr="002537F7">
        <w:trPr>
          <w:trHeight w:val="1092"/>
        </w:trPr>
        <w:tc>
          <w:tcPr>
            <w:tcW w:w="567" w:type="dxa"/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2537F7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Pr="00052342" w:rsidRDefault="003E4891" w:rsidP="002537F7">
            <w:pPr>
              <w:widowControl w:val="0"/>
              <w:ind w:right="29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855EA3">
              <w:rPr>
                <w:sz w:val="28"/>
                <w:szCs w:val="28"/>
                <w:lang w:val="uk-UA"/>
              </w:rPr>
              <w:t>60</w:t>
            </w:r>
            <w:r w:rsidR="00363C2F">
              <w:rPr>
                <w:sz w:val="28"/>
                <w:szCs w:val="28"/>
                <w:lang w:val="uk-UA"/>
              </w:rPr>
              <w:t>8</w:t>
            </w:r>
            <w:r w:rsidR="007C23CD">
              <w:rPr>
                <w:sz w:val="28"/>
                <w:szCs w:val="28"/>
                <w:lang w:val="uk-UA"/>
              </w:rPr>
              <w:t>65</w:t>
            </w:r>
            <w:r>
              <w:rPr>
                <w:sz w:val="28"/>
                <w:szCs w:val="28"/>
                <w:lang w:val="uk-UA"/>
              </w:rPr>
              <w:t>,29</w:t>
            </w:r>
            <w:r w:rsidR="00361C02" w:rsidRPr="00052342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361C02" w:rsidRPr="00052342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DC2300" w:rsidTr="002537F7">
        <w:trPr>
          <w:trHeight w:val="836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державного бюджету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361C02" w:rsidRPr="00052342" w:rsidRDefault="003E4891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122329,0</w:t>
            </w:r>
            <w:r w:rsidR="00361C02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грн.;</w:t>
            </w:r>
          </w:p>
        </w:tc>
      </w:tr>
      <w:tr w:rsidR="00361C02" w:rsidRPr="00DC2300" w:rsidTr="002537F7">
        <w:trPr>
          <w:trHeight w:val="507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обласного бюджету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52342" w:rsidRDefault="00E05614" w:rsidP="002A183A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3E4891">
              <w:rPr>
                <w:rFonts w:ascii="Times New Roman CYR" w:hAnsi="Times New Roman CYR"/>
                <w:sz w:val="28"/>
                <w:szCs w:val="28"/>
                <w:lang w:val="uk-UA"/>
              </w:rPr>
              <w:t>14317,7</w:t>
            </w:r>
            <w:r w:rsidR="00361C02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361C02" w:rsidTr="002537F7">
        <w:trPr>
          <w:trHeight w:val="527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EC290E" w:rsidRPr="00017556">
              <w:rPr>
                <w:color w:val="000000"/>
                <w:sz w:val="28"/>
                <w:szCs w:val="28"/>
                <w:lang w:val="uk-UA"/>
              </w:rPr>
              <w:t>и</w:t>
            </w:r>
            <w:r w:rsidRPr="00017556">
              <w:rPr>
                <w:color w:val="000000"/>
                <w:sz w:val="28"/>
                <w:szCs w:val="28"/>
                <w:lang w:val="uk-UA"/>
              </w:rPr>
              <w:t xml:space="preserve"> міського бюджету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52342" w:rsidRDefault="00B06782" w:rsidP="00052342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188992</w:t>
            </w:r>
            <w:r w:rsidR="003E4891">
              <w:rPr>
                <w:rFonts w:ascii="Times New Roman CYR" w:hAnsi="Times New Roman CYR"/>
                <w:sz w:val="28"/>
                <w:szCs w:val="28"/>
                <w:lang w:val="uk-UA"/>
              </w:rPr>
              <w:t>,39</w:t>
            </w:r>
            <w:r w:rsidR="00630389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грн.;</w:t>
            </w:r>
          </w:p>
        </w:tc>
      </w:tr>
      <w:tr w:rsidR="008602B7" w:rsidRPr="008602B7" w:rsidTr="002537F7">
        <w:trPr>
          <w:trHeight w:val="108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02B7" w:rsidRPr="00534553" w:rsidRDefault="008602B7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02B7" w:rsidRPr="008602B7" w:rsidRDefault="008602B7" w:rsidP="002537F7">
            <w:pPr>
              <w:ind w:left="-77" w:right="-108"/>
              <w:rPr>
                <w:color w:val="000000"/>
                <w:sz w:val="28"/>
                <w:szCs w:val="28"/>
                <w:lang w:val="uk-UA"/>
              </w:rPr>
            </w:pPr>
            <w:r w:rsidRPr="008602B7">
              <w:rPr>
                <w:color w:val="000000"/>
                <w:sz w:val="28"/>
                <w:szCs w:val="28"/>
                <w:lang w:val="uk-UA"/>
              </w:rPr>
              <w:t xml:space="preserve">- кошти </w:t>
            </w:r>
            <w:r w:rsidR="00252ECE">
              <w:rPr>
                <w:color w:val="000000"/>
                <w:sz w:val="28"/>
                <w:szCs w:val="28"/>
                <w:lang w:val="uk-UA"/>
              </w:rPr>
              <w:t xml:space="preserve">бюджету </w:t>
            </w:r>
            <w:r w:rsidRPr="008602B7">
              <w:rPr>
                <w:color w:val="000000"/>
                <w:sz w:val="28"/>
                <w:szCs w:val="28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2537F7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8602B7" w:rsidRPr="008602B7" w:rsidRDefault="003E4891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B06782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855EA3">
              <w:rPr>
                <w:rFonts w:ascii="Times New Roman CYR" w:hAnsi="Times New Roman CYR"/>
                <w:sz w:val="28"/>
                <w:szCs w:val="28"/>
                <w:lang w:val="uk-UA"/>
              </w:rPr>
              <w:t>4</w:t>
            </w:r>
            <w:r w:rsidR="00363C2F">
              <w:rPr>
                <w:rFonts w:ascii="Times New Roman CYR" w:hAnsi="Times New Roman CYR"/>
                <w:sz w:val="28"/>
                <w:szCs w:val="28"/>
                <w:lang w:val="uk-UA"/>
              </w:rPr>
              <w:t>8</w:t>
            </w:r>
            <w:r w:rsidR="00B06782">
              <w:rPr>
                <w:rFonts w:ascii="Times New Roman CYR" w:hAnsi="Times New Roman CYR"/>
                <w:sz w:val="28"/>
                <w:szCs w:val="28"/>
                <w:lang w:val="uk-UA"/>
              </w:rPr>
              <w:t>80</w:t>
            </w: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,0 </w:t>
            </w:r>
            <w:r w:rsidR="008602B7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A46229" w:rsidTr="002537F7">
        <w:trPr>
          <w:trHeight w:val="533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52342" w:rsidRDefault="00CF3155" w:rsidP="002A183A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3E4891">
              <w:rPr>
                <w:rFonts w:ascii="Times New Roman CYR" w:hAnsi="Times New Roman CYR"/>
                <w:sz w:val="28"/>
                <w:szCs w:val="28"/>
                <w:lang w:val="uk-UA"/>
              </w:rPr>
              <w:t>20</w:t>
            </w:r>
            <w:r w:rsidR="00E05614" w:rsidRPr="003E4891">
              <w:rPr>
                <w:rFonts w:ascii="Times New Roman CYR" w:hAnsi="Times New Roman CYR"/>
                <w:sz w:val="28"/>
                <w:szCs w:val="28"/>
                <w:lang w:val="uk-UA"/>
              </w:rPr>
              <w:t>346,2</w:t>
            </w:r>
            <w:r w:rsidR="00630389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052342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</w:tbl>
    <w:p w:rsidR="000E181E" w:rsidRDefault="000E181E" w:rsidP="000E181E">
      <w:pPr>
        <w:pStyle w:val="a7"/>
        <w:ind w:left="709"/>
        <w:jc w:val="both"/>
        <w:rPr>
          <w:sz w:val="28"/>
          <w:szCs w:val="28"/>
        </w:rPr>
      </w:pPr>
    </w:p>
    <w:p w:rsidR="00A459F4" w:rsidRPr="00C403A6" w:rsidRDefault="001F40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1 «</w:t>
      </w:r>
      <w:r w:rsidR="00A459F4" w:rsidRPr="00C403A6">
        <w:rPr>
          <w:sz w:val="28"/>
          <w:szCs w:val="28"/>
        </w:rPr>
        <w:t xml:space="preserve">Заходи </w:t>
      </w:r>
      <w:r w:rsidRPr="00C403A6">
        <w:rPr>
          <w:sz w:val="28"/>
          <w:szCs w:val="28"/>
        </w:rPr>
        <w:t xml:space="preserve">з реалізації </w:t>
      </w:r>
      <w:r w:rsidR="00A459F4" w:rsidRPr="00C403A6">
        <w:rPr>
          <w:sz w:val="28"/>
          <w:szCs w:val="28"/>
        </w:rPr>
        <w:t>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>викласти у новій редакції, згідно додатку 1.</w:t>
      </w:r>
    </w:p>
    <w:p w:rsidR="00C403A6" w:rsidRDefault="00C403A6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Додаток 2 «Показники результативності Програми» до Програми викласти</w:t>
      </w:r>
      <w:r w:rsidRPr="00E57AD4">
        <w:rPr>
          <w:sz w:val="28"/>
          <w:szCs w:val="28"/>
        </w:rPr>
        <w:t xml:space="preserve"> </w:t>
      </w:r>
      <w:r>
        <w:rPr>
          <w:sz w:val="28"/>
          <w:szCs w:val="28"/>
        </w:rPr>
        <w:t>у новій редакції, згідно додатку 2.</w:t>
      </w:r>
    </w:p>
    <w:p w:rsidR="00534553" w:rsidRPr="00C403A6" w:rsidRDefault="00F21D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3</w:t>
      </w:r>
      <w:r w:rsidR="00A459F4" w:rsidRPr="00C403A6">
        <w:rPr>
          <w:sz w:val="28"/>
          <w:szCs w:val="28"/>
        </w:rPr>
        <w:t xml:space="preserve"> </w:t>
      </w:r>
      <w:r w:rsidRPr="00C403A6">
        <w:rPr>
          <w:sz w:val="28"/>
          <w:szCs w:val="28"/>
        </w:rPr>
        <w:t>«</w:t>
      </w:r>
      <w:r w:rsidR="00A459F4" w:rsidRPr="00C403A6">
        <w:rPr>
          <w:sz w:val="28"/>
          <w:szCs w:val="28"/>
        </w:rPr>
        <w:t>Ресурсне забезпечення 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 xml:space="preserve">викласти у новій редакції, згідно додатку </w:t>
      </w:r>
      <w:r w:rsidR="00C403A6" w:rsidRPr="00C403A6">
        <w:rPr>
          <w:sz w:val="28"/>
          <w:szCs w:val="28"/>
        </w:rPr>
        <w:t>3</w:t>
      </w:r>
      <w:r w:rsidR="00A459F4" w:rsidRPr="00C403A6">
        <w:rPr>
          <w:sz w:val="28"/>
          <w:szCs w:val="28"/>
        </w:rPr>
        <w:t>.</w:t>
      </w:r>
    </w:p>
    <w:p w:rsidR="00A459F4" w:rsidRPr="000E181E" w:rsidRDefault="00A459F4" w:rsidP="00A014D0">
      <w:pPr>
        <w:ind w:firstLine="709"/>
        <w:jc w:val="both"/>
        <w:rPr>
          <w:sz w:val="28"/>
          <w:szCs w:val="28"/>
          <w:lang w:val="uk-UA"/>
        </w:rPr>
      </w:pPr>
    </w:p>
    <w:p w:rsidR="00170571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="00240E92">
        <w:rPr>
          <w:sz w:val="28"/>
          <w:lang w:val="uk-UA"/>
        </w:rPr>
        <w:t>2</w:t>
      </w:r>
      <w:r w:rsidR="007D00D2">
        <w:rPr>
          <w:sz w:val="28"/>
          <w:lang w:val="uk-UA"/>
        </w:rPr>
        <w:t xml:space="preserve">. </w:t>
      </w:r>
      <w:r w:rsidRPr="009F1CA7">
        <w:rPr>
          <w:sz w:val="28"/>
          <w:lang w:val="uk-UA"/>
        </w:rPr>
        <w:t xml:space="preserve">Управлінню </w:t>
      </w:r>
      <w:r w:rsidR="0073019E">
        <w:rPr>
          <w:sz w:val="28"/>
          <w:lang w:val="uk-UA"/>
        </w:rPr>
        <w:t>розвитку міського господарства та капітального будівництва</w:t>
      </w:r>
      <w:r w:rsidRPr="009F1CA7">
        <w:rPr>
          <w:sz w:val="28"/>
          <w:lang w:val="uk-UA"/>
        </w:rPr>
        <w:t xml:space="preserve"> Бахмутської міської ради (</w:t>
      </w:r>
      <w:r w:rsidR="00841264">
        <w:rPr>
          <w:sz w:val="28"/>
          <w:lang w:val="uk-UA"/>
        </w:rPr>
        <w:t>Чорноіван</w:t>
      </w:r>
      <w:r w:rsidR="0035008F">
        <w:rPr>
          <w:sz w:val="28"/>
          <w:lang w:val="uk-UA"/>
        </w:rPr>
        <w:t>),</w:t>
      </w:r>
      <w:r w:rsidR="00666AEA" w:rsidRPr="009F1CA7">
        <w:rPr>
          <w:sz w:val="28"/>
          <w:lang w:val="uk-UA"/>
        </w:rPr>
        <w:t xml:space="preserve"> </w:t>
      </w:r>
      <w:r w:rsidRPr="009F1CA7">
        <w:rPr>
          <w:sz w:val="28"/>
          <w:lang w:val="uk-UA"/>
        </w:rPr>
        <w:t>іншим виконавцям, відповідальним за виконання заходів Програми, продовжити подальшу роботу щодо їх реалізації.</w:t>
      </w:r>
      <w:r w:rsidRPr="009F1CA7">
        <w:rPr>
          <w:sz w:val="28"/>
          <w:szCs w:val="28"/>
          <w:lang w:val="uk-UA"/>
        </w:rPr>
        <w:t xml:space="preserve"> </w:t>
      </w:r>
    </w:p>
    <w:p w:rsidR="00666AEA" w:rsidRPr="000E181E" w:rsidRDefault="00666AEA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170571" w:rsidRDefault="00017556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240E92">
        <w:rPr>
          <w:sz w:val="28"/>
          <w:szCs w:val="28"/>
          <w:lang w:val="uk-UA"/>
        </w:rPr>
        <w:t>3</w:t>
      </w:r>
      <w:r w:rsidR="007D00D2">
        <w:rPr>
          <w:sz w:val="28"/>
          <w:szCs w:val="28"/>
          <w:lang w:val="uk-UA"/>
        </w:rPr>
        <w:t xml:space="preserve">. </w:t>
      </w:r>
      <w:r w:rsidR="00170571"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</w:t>
      </w:r>
      <w:r w:rsidR="009F1CA7" w:rsidRPr="009F1CA7">
        <w:rPr>
          <w:sz w:val="28"/>
          <w:lang w:val="uk-UA"/>
        </w:rPr>
        <w:t>ми в межах бюджетних асигнувань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</w:t>
      </w:r>
      <w:r w:rsidR="003F14F7">
        <w:rPr>
          <w:sz w:val="28"/>
          <w:lang w:val="uk-UA"/>
        </w:rPr>
        <w:t xml:space="preserve">передбачених у </w:t>
      </w:r>
      <w:r w:rsidR="00072453">
        <w:rPr>
          <w:sz w:val="28"/>
          <w:lang w:val="uk-UA"/>
        </w:rPr>
        <w:t xml:space="preserve">міському </w:t>
      </w:r>
      <w:r w:rsidR="00170571" w:rsidRPr="009F1CA7">
        <w:rPr>
          <w:sz w:val="28"/>
          <w:lang w:val="uk-UA"/>
        </w:rPr>
        <w:t>бюджет</w:t>
      </w:r>
      <w:r w:rsidR="003F14F7">
        <w:rPr>
          <w:sz w:val="28"/>
          <w:lang w:val="uk-UA"/>
        </w:rPr>
        <w:t>і</w:t>
      </w:r>
      <w:r w:rsidR="00D74A9B">
        <w:rPr>
          <w:sz w:val="28"/>
          <w:lang w:val="uk-UA"/>
        </w:rPr>
        <w:t xml:space="preserve"> м. </w:t>
      </w:r>
      <w:proofErr w:type="spellStart"/>
      <w:r w:rsidR="00D74A9B">
        <w:rPr>
          <w:sz w:val="28"/>
          <w:lang w:val="uk-UA"/>
        </w:rPr>
        <w:t>Бахмут</w:t>
      </w:r>
      <w:r w:rsidR="0035008F">
        <w:rPr>
          <w:sz w:val="28"/>
          <w:lang w:val="uk-UA"/>
        </w:rPr>
        <w:t>а</w:t>
      </w:r>
      <w:proofErr w:type="spellEnd"/>
      <w:r w:rsidR="00170571" w:rsidRPr="009F1CA7">
        <w:rPr>
          <w:sz w:val="28"/>
          <w:lang w:val="uk-UA"/>
        </w:rPr>
        <w:t xml:space="preserve"> на 201</w:t>
      </w:r>
      <w:r w:rsidR="00746EB1">
        <w:rPr>
          <w:sz w:val="28"/>
          <w:lang w:val="uk-UA"/>
        </w:rPr>
        <w:t>9</w:t>
      </w:r>
      <w:r w:rsidR="00170571" w:rsidRPr="009F1CA7">
        <w:rPr>
          <w:sz w:val="28"/>
          <w:lang w:val="uk-UA"/>
        </w:rPr>
        <w:t xml:space="preserve"> рік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та передбач</w:t>
      </w:r>
      <w:r w:rsidR="00DD5DEF">
        <w:rPr>
          <w:sz w:val="28"/>
          <w:lang w:val="uk-UA"/>
        </w:rPr>
        <w:t>и</w:t>
      </w:r>
      <w:r w:rsidR="00170571" w:rsidRPr="009F1CA7">
        <w:rPr>
          <w:sz w:val="28"/>
          <w:lang w:val="uk-UA"/>
        </w:rPr>
        <w:t>ти кошти на фінансування заходів Програми при формуванні проект</w:t>
      </w:r>
      <w:r w:rsidR="0063242E">
        <w:rPr>
          <w:sz w:val="28"/>
          <w:lang w:val="uk-UA"/>
        </w:rPr>
        <w:t>у</w:t>
      </w:r>
      <w:r w:rsidR="00170571" w:rsidRPr="009F1CA7">
        <w:rPr>
          <w:sz w:val="28"/>
          <w:lang w:val="uk-UA"/>
        </w:rPr>
        <w:t xml:space="preserve"> бюджету </w:t>
      </w:r>
      <w:r w:rsidR="00587BEB">
        <w:rPr>
          <w:sz w:val="28"/>
          <w:lang w:val="uk-UA"/>
        </w:rPr>
        <w:t xml:space="preserve">Бахмутської міської об’єднаної територіальної громади </w:t>
      </w:r>
      <w:r w:rsidR="00170571" w:rsidRPr="009F1CA7">
        <w:rPr>
          <w:sz w:val="28"/>
          <w:lang w:val="uk-UA"/>
        </w:rPr>
        <w:t>на наступн</w:t>
      </w:r>
      <w:r w:rsidR="0063242E">
        <w:rPr>
          <w:sz w:val="28"/>
          <w:lang w:val="uk-UA"/>
        </w:rPr>
        <w:t>ий рік.</w:t>
      </w:r>
    </w:p>
    <w:p w:rsidR="00D05145" w:rsidRPr="000E181E" w:rsidRDefault="00D05145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252ECE" w:rsidRDefault="00D05145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Вважати такими, щ</w:t>
      </w:r>
      <w:r w:rsidR="00DD5DEF">
        <w:rPr>
          <w:sz w:val="28"/>
          <w:lang w:val="uk-UA"/>
        </w:rPr>
        <w:t>о втратили чинність</w:t>
      </w:r>
      <w:r w:rsidR="00252ECE">
        <w:rPr>
          <w:sz w:val="28"/>
          <w:lang w:val="uk-UA"/>
        </w:rPr>
        <w:t>:</w:t>
      </w:r>
    </w:p>
    <w:p w:rsidR="00252ECE" w:rsidRDefault="002537F7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proofErr w:type="spellStart"/>
      <w:r w:rsidR="00252ECE">
        <w:rPr>
          <w:sz w:val="28"/>
          <w:lang w:val="uk-UA"/>
        </w:rPr>
        <w:t>п</w:t>
      </w:r>
      <w:r w:rsidR="00DD5DEF">
        <w:rPr>
          <w:sz w:val="28"/>
          <w:lang w:val="uk-UA"/>
        </w:rPr>
        <w:t>.п</w:t>
      </w:r>
      <w:proofErr w:type="spellEnd"/>
      <w:r w:rsidR="00DD5DEF">
        <w:rPr>
          <w:sz w:val="28"/>
          <w:lang w:val="uk-UA"/>
        </w:rPr>
        <w:t>.</w:t>
      </w:r>
      <w:r w:rsidR="00C403A6">
        <w:rPr>
          <w:sz w:val="28"/>
          <w:lang w:val="uk-UA"/>
        </w:rPr>
        <w:t xml:space="preserve"> </w:t>
      </w:r>
      <w:r w:rsidR="00DD5DEF">
        <w:rPr>
          <w:sz w:val="28"/>
          <w:lang w:val="uk-UA"/>
        </w:rPr>
        <w:t>1.</w:t>
      </w:r>
      <w:r w:rsidR="00252ECE">
        <w:rPr>
          <w:sz w:val="28"/>
          <w:lang w:val="uk-UA"/>
        </w:rPr>
        <w:t>1</w:t>
      </w:r>
      <w:r w:rsidR="00E63CD2">
        <w:rPr>
          <w:sz w:val="28"/>
          <w:lang w:val="uk-UA"/>
        </w:rPr>
        <w:t xml:space="preserve"> </w:t>
      </w:r>
      <w:r w:rsidR="00252ECE">
        <w:rPr>
          <w:sz w:val="28"/>
          <w:lang w:val="uk-UA"/>
        </w:rPr>
        <w:t>-</w:t>
      </w:r>
      <w:r w:rsidR="00E63CD2">
        <w:rPr>
          <w:sz w:val="28"/>
          <w:lang w:val="uk-UA"/>
        </w:rPr>
        <w:t xml:space="preserve"> </w:t>
      </w:r>
      <w:r w:rsidR="00DD5DEF">
        <w:rPr>
          <w:sz w:val="28"/>
          <w:lang w:val="uk-UA"/>
        </w:rPr>
        <w:t>1.</w:t>
      </w:r>
      <w:r w:rsidR="00C403A6">
        <w:rPr>
          <w:sz w:val="28"/>
          <w:lang w:val="uk-UA"/>
        </w:rPr>
        <w:t>3</w:t>
      </w:r>
      <w:r w:rsidR="00D05145">
        <w:rPr>
          <w:sz w:val="28"/>
          <w:lang w:val="uk-UA"/>
        </w:rPr>
        <w:t xml:space="preserve"> п.1 рішення Бахмутської міської ради від 2</w:t>
      </w:r>
      <w:r w:rsidR="00C403A6">
        <w:rPr>
          <w:sz w:val="28"/>
          <w:lang w:val="uk-UA"/>
        </w:rPr>
        <w:t>5</w:t>
      </w:r>
      <w:r w:rsidR="00D05145">
        <w:rPr>
          <w:sz w:val="28"/>
          <w:lang w:val="uk-UA"/>
        </w:rPr>
        <w:t>.0</w:t>
      </w:r>
      <w:r w:rsidR="00C403A6">
        <w:rPr>
          <w:sz w:val="28"/>
          <w:lang w:val="uk-UA"/>
        </w:rPr>
        <w:t>9</w:t>
      </w:r>
      <w:r w:rsidR="00E63CD2">
        <w:rPr>
          <w:sz w:val="28"/>
          <w:lang w:val="uk-UA"/>
        </w:rPr>
        <w:t>.2019 №</w:t>
      </w:r>
      <w:r w:rsidR="00D05145">
        <w:rPr>
          <w:sz w:val="28"/>
          <w:lang w:val="uk-UA"/>
        </w:rPr>
        <w:t>6/13</w:t>
      </w:r>
      <w:r w:rsidR="00C403A6">
        <w:rPr>
          <w:sz w:val="28"/>
          <w:lang w:val="uk-UA"/>
        </w:rPr>
        <w:t>3</w:t>
      </w:r>
      <w:r w:rsidR="00D05145">
        <w:rPr>
          <w:sz w:val="28"/>
          <w:lang w:val="uk-UA"/>
        </w:rPr>
        <w:t>-2</w:t>
      </w:r>
      <w:r w:rsidR="00C403A6">
        <w:rPr>
          <w:sz w:val="28"/>
          <w:lang w:val="uk-UA"/>
        </w:rPr>
        <w:t>663</w:t>
      </w:r>
      <w:r w:rsidR="008009A0">
        <w:rPr>
          <w:sz w:val="28"/>
          <w:lang w:val="uk-UA"/>
        </w:rPr>
        <w:t xml:space="preserve"> «Про внесення змін до Програми благоустрою міста Бахмут на 2016-2020» та додатки до них</w:t>
      </w:r>
      <w:r w:rsidR="00252ECE">
        <w:rPr>
          <w:sz w:val="28"/>
          <w:lang w:val="uk-UA"/>
        </w:rPr>
        <w:t>;</w:t>
      </w:r>
    </w:p>
    <w:p w:rsidR="00D05145" w:rsidRPr="009F1CA7" w:rsidRDefault="002537F7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52ECE">
        <w:rPr>
          <w:sz w:val="28"/>
          <w:lang w:val="uk-UA"/>
        </w:rPr>
        <w:t>рішення Бахмутської міської ради від 26.06.2019 № 6/131-2584 «Про внесення змін до Програми благоустрою міста Бахмут на 2016-2020»</w:t>
      </w:r>
      <w:r>
        <w:rPr>
          <w:sz w:val="28"/>
          <w:lang w:val="uk-UA"/>
        </w:rPr>
        <w:t>.</w:t>
      </w:r>
    </w:p>
    <w:p w:rsidR="00170571" w:rsidRPr="000E181E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2845FC" w:rsidRPr="008F432E" w:rsidRDefault="00D05145" w:rsidP="00A014D0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</w:t>
      </w:r>
      <w:r w:rsidR="003E447E" w:rsidRPr="008F432E">
        <w:rPr>
          <w:sz w:val="28"/>
          <w:lang w:val="uk-UA"/>
        </w:rPr>
        <w:t xml:space="preserve">. </w:t>
      </w:r>
      <w:r w:rsidR="00170571" w:rsidRPr="00252ECE">
        <w:rPr>
          <w:sz w:val="28"/>
          <w:lang w:val="uk-UA"/>
        </w:rPr>
        <w:t xml:space="preserve">Організаційне виконання рішення покласти на Управління </w:t>
      </w:r>
      <w:r w:rsidR="00666AEA" w:rsidRPr="00252ECE">
        <w:rPr>
          <w:sz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666AEA" w:rsidRPr="008F432E">
        <w:rPr>
          <w:sz w:val="28"/>
          <w:lang w:val="uk-UA"/>
        </w:rPr>
        <w:t>(</w:t>
      </w:r>
      <w:r w:rsidR="00841264">
        <w:rPr>
          <w:sz w:val="28"/>
          <w:lang w:val="uk-UA"/>
        </w:rPr>
        <w:t>Чорноіван</w:t>
      </w:r>
      <w:r w:rsidR="00666AEA" w:rsidRPr="008F432E">
        <w:rPr>
          <w:sz w:val="28"/>
          <w:lang w:val="uk-UA"/>
        </w:rPr>
        <w:t>)</w:t>
      </w:r>
      <w:r w:rsidR="00170571" w:rsidRPr="008F432E">
        <w:rPr>
          <w:sz w:val="28"/>
          <w:lang w:val="uk-UA"/>
        </w:rPr>
        <w:t>, Фінансове управління Бахмутської м</w:t>
      </w:r>
      <w:r w:rsidR="008F432E">
        <w:rPr>
          <w:sz w:val="28"/>
          <w:lang w:val="uk-UA"/>
        </w:rPr>
        <w:t xml:space="preserve">іської ради (Ткаченко), </w:t>
      </w:r>
      <w:r w:rsidR="002845FC" w:rsidRPr="008F432E">
        <w:rPr>
          <w:sz w:val="28"/>
          <w:lang w:val="uk-UA"/>
        </w:rPr>
        <w:t xml:space="preserve">заступника міського голови </w:t>
      </w:r>
      <w:r w:rsidR="00D74A9B">
        <w:rPr>
          <w:sz w:val="28"/>
          <w:lang w:val="uk-UA"/>
        </w:rPr>
        <w:t>Стрющенк</w:t>
      </w:r>
      <w:r w:rsidR="00B25487">
        <w:rPr>
          <w:sz w:val="28"/>
          <w:lang w:val="uk-UA"/>
        </w:rPr>
        <w:t>а</w:t>
      </w:r>
      <w:r w:rsidR="002845FC" w:rsidRPr="008F432E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>О</w:t>
      </w:r>
      <w:r w:rsidR="002845FC">
        <w:rPr>
          <w:sz w:val="28"/>
          <w:lang w:val="uk-UA"/>
        </w:rPr>
        <w:t>.</w:t>
      </w:r>
      <w:r w:rsidR="00D74A9B">
        <w:rPr>
          <w:sz w:val="28"/>
          <w:lang w:val="uk-UA"/>
        </w:rPr>
        <w:t>В</w:t>
      </w:r>
      <w:r w:rsidR="002845FC" w:rsidRPr="008F432E">
        <w:rPr>
          <w:sz w:val="28"/>
          <w:lang w:val="uk-UA"/>
        </w:rPr>
        <w:t>.</w:t>
      </w:r>
      <w:r w:rsidR="002845FC">
        <w:rPr>
          <w:sz w:val="28"/>
          <w:lang w:val="uk-UA"/>
        </w:rPr>
        <w:t>, першого заступника міського голови Савченко Т.М.</w:t>
      </w:r>
      <w:r w:rsidR="002845FC" w:rsidRPr="008F432E">
        <w:rPr>
          <w:sz w:val="28"/>
          <w:lang w:val="uk-UA"/>
        </w:rPr>
        <w:t xml:space="preserve"> </w:t>
      </w:r>
    </w:p>
    <w:p w:rsidR="00170571" w:rsidRPr="000E181E" w:rsidRDefault="00170571" w:rsidP="00A014D0">
      <w:pPr>
        <w:ind w:right="-1" w:firstLine="708"/>
        <w:jc w:val="both"/>
        <w:rPr>
          <w:sz w:val="28"/>
          <w:szCs w:val="28"/>
          <w:lang w:val="uk-UA"/>
        </w:rPr>
      </w:pPr>
    </w:p>
    <w:p w:rsidR="00170571" w:rsidRPr="009F1CA7" w:rsidRDefault="00D05145" w:rsidP="00A014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70571" w:rsidRPr="009F1CA7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 </w:t>
      </w:r>
      <w:r w:rsidR="00170571" w:rsidRPr="009F1CA7">
        <w:rPr>
          <w:bCs/>
          <w:iCs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 w:rsidR="00170571" w:rsidRPr="009F1CA7">
        <w:rPr>
          <w:sz w:val="28"/>
          <w:szCs w:val="28"/>
          <w:lang w:val="uk-UA"/>
        </w:rPr>
        <w:t>секретаря Бахмутсь</w:t>
      </w:r>
      <w:r w:rsidR="00D74A9B">
        <w:rPr>
          <w:sz w:val="28"/>
          <w:szCs w:val="28"/>
          <w:lang w:val="uk-UA"/>
        </w:rPr>
        <w:t>кої міської ради  Кіщенко С.І.</w:t>
      </w:r>
    </w:p>
    <w:p w:rsidR="00170571" w:rsidRDefault="00170571" w:rsidP="00A014D0">
      <w:pPr>
        <w:ind w:firstLine="708"/>
        <w:jc w:val="both"/>
        <w:rPr>
          <w:sz w:val="28"/>
          <w:lang w:val="uk-UA"/>
        </w:rPr>
      </w:pPr>
    </w:p>
    <w:p w:rsidR="00AA53F5" w:rsidRPr="009F1CA7" w:rsidRDefault="00AA53F5" w:rsidP="00A014D0">
      <w:pPr>
        <w:ind w:firstLine="708"/>
        <w:jc w:val="both"/>
        <w:rPr>
          <w:sz w:val="28"/>
          <w:lang w:val="uk-UA"/>
        </w:rPr>
      </w:pPr>
    </w:p>
    <w:p w:rsidR="009534B5" w:rsidRDefault="008D0B29" w:rsidP="00A014D0">
      <w:pPr>
        <w:ind w:firstLine="708"/>
        <w:jc w:val="both"/>
        <w:rPr>
          <w:b/>
          <w:sz w:val="28"/>
          <w:szCs w:val="28"/>
          <w:lang w:val="uk-UA"/>
        </w:rPr>
        <w:sectPr w:rsidR="009534B5" w:rsidSect="003E4891">
          <w:headerReference w:type="default" r:id="rId9"/>
          <w:pgSz w:w="11906" w:h="16838" w:code="9"/>
          <w:pgMar w:top="567" w:right="849" w:bottom="709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 w:rsidR="001A4F5D" w:rsidRPr="001A4F5D">
        <w:rPr>
          <w:b/>
          <w:sz w:val="28"/>
          <w:szCs w:val="28"/>
          <w:lang w:val="uk-UA"/>
        </w:rPr>
        <w:t xml:space="preserve"> </w:t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 xml:space="preserve">. </w:t>
      </w:r>
      <w:r w:rsidR="004955AF">
        <w:rPr>
          <w:b/>
          <w:sz w:val="28"/>
          <w:szCs w:val="28"/>
          <w:lang w:val="uk-UA"/>
        </w:rPr>
        <w:t>РЕВА</w:t>
      </w:r>
    </w:p>
    <w:p w:rsidR="009534B5" w:rsidRPr="008B595A" w:rsidRDefault="009534B5" w:rsidP="009534B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1</w:t>
      </w:r>
    </w:p>
    <w:p w:rsidR="009534B5" w:rsidRPr="008B595A" w:rsidRDefault="009534B5" w:rsidP="009534B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Бахмутської міської ради від 22.06.2016 </w:t>
      </w:r>
      <w:r w:rsidRPr="008B595A">
        <w:rPr>
          <w:i/>
          <w:sz w:val="26"/>
          <w:szCs w:val="26"/>
          <w:lang w:val="uk-UA"/>
        </w:rPr>
        <w:t>№ 6/87-1546</w:t>
      </w:r>
      <w:r>
        <w:rPr>
          <w:i/>
          <w:sz w:val="26"/>
          <w:szCs w:val="26"/>
          <w:lang w:val="uk-UA"/>
        </w:rPr>
        <w:t>, із змінами</w:t>
      </w:r>
      <w:r w:rsidRPr="008B595A">
        <w:rPr>
          <w:bCs/>
          <w:i/>
          <w:sz w:val="26"/>
          <w:szCs w:val="26"/>
          <w:lang w:val="uk-UA"/>
        </w:rPr>
        <w:t xml:space="preserve"> </w:t>
      </w:r>
    </w:p>
    <w:p w:rsidR="009534B5" w:rsidRPr="008B595A" w:rsidRDefault="009534B5" w:rsidP="009534B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1</w:t>
      </w:r>
      <w:r w:rsidRPr="008B595A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27</w:t>
      </w:r>
      <w:r w:rsidRPr="008B595A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11</w:t>
      </w:r>
      <w:r w:rsidRPr="008B595A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8B595A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35</w:t>
      </w:r>
      <w:r w:rsidRPr="008B595A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2731</w:t>
      </w:r>
      <w:r w:rsidRPr="008B595A">
        <w:rPr>
          <w:bCs/>
          <w:i/>
          <w:sz w:val="26"/>
          <w:szCs w:val="26"/>
          <w:lang w:val="uk-UA"/>
        </w:rPr>
        <w:t>)</w:t>
      </w:r>
    </w:p>
    <w:p w:rsidR="009534B5" w:rsidRDefault="009534B5" w:rsidP="009534B5">
      <w:pPr>
        <w:ind w:left="142" w:hanging="142"/>
        <w:jc w:val="right"/>
        <w:rPr>
          <w:b/>
          <w:sz w:val="28"/>
          <w:szCs w:val="28"/>
          <w:lang w:val="uk-UA"/>
        </w:rPr>
      </w:pPr>
    </w:p>
    <w:p w:rsidR="009534B5" w:rsidRPr="00646275" w:rsidRDefault="009534B5" w:rsidP="009534B5">
      <w:pPr>
        <w:ind w:left="142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З РЕАЛІЗАЦІЇ </w:t>
      </w:r>
      <w:r w:rsidRPr="0064627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</w:p>
    <w:p w:rsidR="009534B5" w:rsidRPr="00646275" w:rsidRDefault="009534B5" w:rsidP="009534B5">
      <w:pPr>
        <w:jc w:val="center"/>
        <w:rPr>
          <w:b/>
          <w:sz w:val="28"/>
          <w:szCs w:val="28"/>
          <w:lang w:val="uk-UA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99"/>
        <w:gridCol w:w="1984"/>
        <w:gridCol w:w="1134"/>
        <w:gridCol w:w="1559"/>
        <w:gridCol w:w="1417"/>
        <w:gridCol w:w="851"/>
        <w:gridCol w:w="851"/>
        <w:gridCol w:w="850"/>
        <w:gridCol w:w="851"/>
        <w:gridCol w:w="850"/>
        <w:gridCol w:w="960"/>
        <w:gridCol w:w="2017"/>
      </w:tblGrid>
      <w:tr w:rsidR="009534B5" w:rsidRPr="00646275" w:rsidTr="00275D0E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99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13" w:type="dxa"/>
            <w:gridSpan w:val="6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2017" w:type="dxa"/>
            <w:vMerge w:val="restart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:rsidR="009534B5" w:rsidRPr="00646275" w:rsidRDefault="009534B5" w:rsidP="00275D0E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9534B5" w:rsidRPr="00646275" w:rsidTr="00275D0E">
        <w:trPr>
          <w:cantSplit/>
          <w:trHeight w:val="684"/>
          <w:tblHeader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646275" w:rsidRDefault="009534B5" w:rsidP="00275D0E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60" w:type="dxa"/>
            <w:shd w:val="clear" w:color="auto" w:fill="C6D9F1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17" w:type="dxa"/>
            <w:vMerge/>
            <w:shd w:val="clear" w:color="auto" w:fill="C6D9F1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646275" w:rsidTr="00275D0E">
        <w:trPr>
          <w:cantSplit/>
          <w:tblHeader/>
        </w:trPr>
        <w:tc>
          <w:tcPr>
            <w:tcW w:w="456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99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2017" w:type="dxa"/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</w:t>
            </w:r>
            <w:r>
              <w:rPr>
                <w:sz w:val="20"/>
                <w:szCs w:val="20"/>
                <w:lang w:val="uk-UA"/>
              </w:rPr>
              <w:t>ення капітального ремонту доріг</w:t>
            </w:r>
          </w:p>
          <w:p w:rsidR="009534B5" w:rsidRPr="008F432E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9209,4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22709,4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BA56A7">
              <w:rPr>
                <w:spacing w:val="-4"/>
                <w:sz w:val="20"/>
                <w:szCs w:val="20"/>
                <w:lang w:val="uk-UA"/>
              </w:rPr>
              <w:t>Проведення 145 тис. м</w:t>
            </w:r>
            <w:r w:rsidRPr="00BA56A7">
              <w:rPr>
                <w:spacing w:val="-4"/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доріг 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1653,8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11263,9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Pr="005F176B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45917,7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B872FC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156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72984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</w:t>
            </w:r>
            <w:r>
              <w:rPr>
                <w:sz w:val="20"/>
                <w:szCs w:val="20"/>
                <w:lang w:val="uk-UA"/>
              </w:rPr>
              <w:t>едення реконструкції доріг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Реконструкція доріг 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7441,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26841,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60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реконструкції доріг 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6762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12762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B872FC" w:rsidRDefault="009534B5" w:rsidP="00275D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226D4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B872FC" w:rsidRDefault="009534B5" w:rsidP="00275D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226D4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72984" w:rsidTr="00275D0E">
        <w:trPr>
          <w:cantSplit/>
          <w:trHeight w:val="794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</w:t>
            </w:r>
            <w:r>
              <w:rPr>
                <w:sz w:val="20"/>
                <w:szCs w:val="20"/>
                <w:lang w:val="uk-UA"/>
              </w:rPr>
              <w:t>тального ремонту тротуарів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13630,8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25630,8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84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тротуарів</w:t>
            </w:r>
          </w:p>
        </w:tc>
      </w:tr>
      <w:tr w:rsidR="009534B5" w:rsidRPr="00646275" w:rsidTr="00275D0E">
        <w:trPr>
          <w:cantSplit/>
          <w:trHeight w:val="794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955C4" w:rsidTr="00275D0E">
        <w:trPr>
          <w:cantSplit/>
          <w:trHeight w:val="794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299,9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2110,1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17465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955C4" w:rsidTr="00275D0E">
        <w:trPr>
          <w:cantSplit/>
          <w:trHeight w:val="1194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72984" w:rsidTr="00275D0E">
        <w:trPr>
          <w:cantSplit/>
          <w:trHeight w:val="567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</w:t>
            </w:r>
            <w:r>
              <w:rPr>
                <w:sz w:val="20"/>
                <w:szCs w:val="20"/>
                <w:lang w:val="uk-UA"/>
              </w:rPr>
              <w:t>я поточного ремонту шляхів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Поточний ремонт </w:t>
            </w:r>
            <w:r>
              <w:rPr>
                <w:sz w:val="20"/>
                <w:szCs w:val="20"/>
                <w:lang w:val="uk-UA"/>
              </w:rPr>
              <w:t>доріг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2510,5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17843</w:t>
            </w:r>
            <w:r w:rsidRPr="005F176B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55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поточного ремонту шляхів</w:t>
            </w: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567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646275">
              <w:rPr>
                <w:sz w:val="20"/>
                <w:szCs w:val="20"/>
                <w:lang w:val="uk-UA"/>
              </w:rPr>
              <w:t>-20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646275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12665,1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4441,6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27106,7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капітального ремонту </w:t>
            </w:r>
            <w:r>
              <w:rPr>
                <w:sz w:val="20"/>
                <w:szCs w:val="20"/>
                <w:lang w:val="uk-UA"/>
              </w:rPr>
              <w:t>4</w:t>
            </w:r>
            <w:r w:rsidRPr="00C80027">
              <w:rPr>
                <w:sz w:val="20"/>
                <w:szCs w:val="20"/>
                <w:lang w:val="uk-UA"/>
              </w:rPr>
              <w:t xml:space="preserve"> мостів</w:t>
            </w:r>
          </w:p>
        </w:tc>
      </w:tr>
      <w:tr w:rsidR="009534B5" w:rsidRPr="00646275" w:rsidTr="00275D0E">
        <w:trPr>
          <w:cantSplit/>
          <w:trHeight w:val="567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646275" w:rsidRDefault="009534B5" w:rsidP="00275D0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698,3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646275" w:rsidRDefault="009534B5" w:rsidP="00275D0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567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646275" w:rsidRDefault="009534B5" w:rsidP="00275D0E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567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1984" w:type="dxa"/>
            <w:vMerge w:val="restart"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>55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прибудинкових територій</w:t>
            </w:r>
          </w:p>
        </w:tc>
      </w:tr>
      <w:tr w:rsidR="009534B5" w:rsidRPr="00646275" w:rsidTr="00275D0E">
        <w:trPr>
          <w:cantSplit/>
          <w:trHeight w:val="567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3602,8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8188,7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3655,6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21447,1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72984" w:rsidTr="00275D0E">
        <w:trPr>
          <w:cantSplit/>
          <w:trHeight w:val="567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1984" w:type="dxa"/>
            <w:vMerge w:val="restart"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Зимове утримання шляхів 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0B799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0B7998">
              <w:rPr>
                <w:sz w:val="20"/>
                <w:szCs w:val="20"/>
                <w:lang w:val="uk-UA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Належне зимове утримання шляхів </w:t>
            </w: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Pr="00BB5310" w:rsidRDefault="009534B5" w:rsidP="00275D0E">
            <w:pPr>
              <w:jc w:val="center"/>
              <w:rPr>
                <w:spacing w:val="-4"/>
                <w:sz w:val="20"/>
                <w:szCs w:val="20"/>
                <w:lang w:val="uk-UA"/>
              </w:rPr>
            </w:pPr>
            <w:r w:rsidRPr="00BB5310">
              <w:rPr>
                <w:spacing w:val="-4"/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0B799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A438E6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</w:p>
        </w:tc>
        <w:tc>
          <w:tcPr>
            <w:tcW w:w="1984" w:type="dxa"/>
            <w:vMerge w:val="restart"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; к</w:t>
            </w:r>
            <w:r w:rsidRPr="00E012A2">
              <w:rPr>
                <w:sz w:val="20"/>
                <w:szCs w:val="20"/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тематичного парку «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Камені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Донбасу»;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скверу по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вул. Горького; </w:t>
            </w:r>
          </w:p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набережної </w:t>
            </w:r>
            <w:r w:rsidRPr="00E012A2">
              <w:rPr>
                <w:sz w:val="20"/>
                <w:szCs w:val="20"/>
                <w:lang w:val="uk-UA"/>
              </w:rPr>
              <w:br/>
              <w:t>р. Бахмутка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площі Свободи;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скверу Фонтанний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культури </w:t>
            </w:r>
            <w:r w:rsidRPr="000E0FDF">
              <w:rPr>
                <w:sz w:val="20"/>
                <w:szCs w:val="20"/>
                <w:lang w:val="uk-UA"/>
              </w:rPr>
              <w:t>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7600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</w:t>
            </w:r>
            <w:r w:rsidRPr="005F176B">
              <w:rPr>
                <w:sz w:val="20"/>
                <w:szCs w:val="20"/>
                <w:lang w:val="uk-UA"/>
              </w:rPr>
              <w:t>22,8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BB5310" w:rsidRDefault="009534B5" w:rsidP="00275D0E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Будівництво парку Ювілейний, проведення капітального ремонту та реконструкції тематичного парку «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Камені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Донбасу»,</w:t>
            </w:r>
          </w:p>
          <w:p w:rsidR="009534B5" w:rsidRPr="00BB5310" w:rsidRDefault="009534B5" w:rsidP="00275D0E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бульвару Металургів, , скверу Дружби, скверу по вул. Горького, набережної р. Бахмутка, фонтанів  на площі Свободи та у Фонтанному сквері, пам’ятника « Братська могила радянських воїнів Південно-Західного фронту»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 та</w:t>
            </w:r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пам’я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тника Васі </w:t>
            </w:r>
            <w:proofErr w:type="spellStart"/>
            <w:r>
              <w:rPr>
                <w:spacing w:val="-8"/>
                <w:sz w:val="20"/>
                <w:szCs w:val="20"/>
                <w:lang w:val="uk-UA"/>
              </w:rPr>
              <w:t>Носакову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, встановлення скульптурних фігур, 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МАФів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на площі Свободи, бульварі Металургів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2106,9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11800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13906,9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922,1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</w:t>
            </w:r>
            <w:r>
              <w:rPr>
                <w:sz w:val="20"/>
                <w:szCs w:val="20"/>
                <w:lang w:val="uk-UA"/>
              </w:rPr>
              <w:t xml:space="preserve">льного ремонту кладовищ </w:t>
            </w:r>
          </w:p>
        </w:tc>
        <w:tc>
          <w:tcPr>
            <w:tcW w:w="1984" w:type="dxa"/>
            <w:vMerge w:val="restart"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</w:t>
            </w:r>
            <w:r>
              <w:rPr>
                <w:sz w:val="20"/>
                <w:szCs w:val="20"/>
                <w:lang w:val="uk-UA"/>
              </w:rPr>
              <w:t xml:space="preserve">онт території кладовища по вулиці </w:t>
            </w:r>
            <w:r w:rsidRPr="00E012A2">
              <w:rPr>
                <w:sz w:val="20"/>
                <w:szCs w:val="20"/>
                <w:lang w:val="uk-UA"/>
              </w:rPr>
              <w:t>Маріупольська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кладовища №1 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(с. Іванівське)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  <w:r w:rsidRPr="000E0FDF">
              <w:rPr>
                <w:sz w:val="20"/>
                <w:szCs w:val="20"/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sz w:val="20"/>
                <w:szCs w:val="20"/>
                <w:lang w:val="uk-UA"/>
              </w:rPr>
              <w:t xml:space="preserve">» (далі КП </w:t>
            </w:r>
            <w:r w:rsidRPr="000E0FDF">
              <w:rPr>
                <w:sz w:val="20"/>
                <w:szCs w:val="20"/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9534B5" w:rsidRPr="005955C4" w:rsidTr="00275D0E">
        <w:trPr>
          <w:cantSplit/>
          <w:trHeight w:val="1417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10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утримання </w:t>
            </w:r>
            <w:r>
              <w:rPr>
                <w:sz w:val="20"/>
                <w:szCs w:val="20"/>
                <w:lang w:val="uk-UA"/>
              </w:rPr>
              <w:t>дорожньо-мостового господарства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Поточне утримання вулиць, </w:t>
            </w:r>
            <w:r>
              <w:rPr>
                <w:sz w:val="20"/>
                <w:szCs w:val="20"/>
                <w:lang w:val="uk-UA"/>
              </w:rPr>
              <w:t xml:space="preserve">доріг, </w:t>
            </w:r>
            <w:r w:rsidRPr="00EE1F3C">
              <w:rPr>
                <w:sz w:val="20"/>
                <w:szCs w:val="20"/>
                <w:lang w:val="uk-UA"/>
              </w:rPr>
              <w:t>мостів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EE1F3C">
              <w:rPr>
                <w:sz w:val="20"/>
                <w:szCs w:val="20"/>
                <w:lang w:val="uk-UA"/>
              </w:rPr>
              <w:t xml:space="preserve">майданів, </w:t>
            </w:r>
            <w:r>
              <w:rPr>
                <w:sz w:val="20"/>
                <w:szCs w:val="20"/>
                <w:lang w:val="uk-UA"/>
              </w:rPr>
              <w:t>парків, скверів, с</w:t>
            </w:r>
            <w:r w:rsidRPr="000F1560">
              <w:rPr>
                <w:sz w:val="20"/>
                <w:szCs w:val="20"/>
                <w:lang w:val="uk-UA"/>
              </w:rPr>
              <w:t>творення умов для зручного і безперешкодного пересування інвалідів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835C2E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835C2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11170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9534B5" w:rsidRPr="005955C4" w:rsidTr="00275D0E">
        <w:trPr>
          <w:cantSplit/>
          <w:trHeight w:val="1606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835C2E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sz w:val="20"/>
                <w:szCs w:val="20"/>
                <w:lang w:val="uk-UA"/>
              </w:rPr>
              <w:t xml:space="preserve">капітального та </w:t>
            </w:r>
            <w:r w:rsidRPr="00EE1F3C">
              <w:rPr>
                <w:sz w:val="20"/>
                <w:szCs w:val="20"/>
                <w:lang w:val="uk-UA"/>
              </w:rPr>
              <w:t>поточного ремонту</w:t>
            </w:r>
            <w:r>
              <w:rPr>
                <w:sz w:val="20"/>
                <w:szCs w:val="20"/>
                <w:lang w:val="uk-UA"/>
              </w:rPr>
              <w:t>,</w:t>
            </w:r>
            <w:r w:rsidRPr="00EE1F3C">
              <w:rPr>
                <w:sz w:val="20"/>
                <w:szCs w:val="20"/>
                <w:lang w:val="uk-UA"/>
              </w:rPr>
              <w:t xml:space="preserve"> утримання зливової каналізації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 та поточний ремонт, </w:t>
            </w:r>
            <w:r w:rsidRPr="00EE1F3C">
              <w:rPr>
                <w:sz w:val="20"/>
                <w:szCs w:val="20"/>
                <w:lang w:val="uk-UA"/>
              </w:rPr>
              <w:t>утримання зливової каналізації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</w:p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КП «БККП»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175,28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CE4196" w:rsidRDefault="009534B5" w:rsidP="00275D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82B73">
              <w:rPr>
                <w:sz w:val="20"/>
                <w:szCs w:val="20"/>
                <w:lang w:val="uk-UA"/>
              </w:rPr>
              <w:t>639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1958,28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9534B5" w:rsidRPr="005955C4" w:rsidTr="00275D0E">
        <w:trPr>
          <w:cantSplit/>
          <w:trHeight w:val="161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82B73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84D9C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proofErr w:type="spellStart"/>
            <w:r w:rsidRPr="00304F64">
              <w:rPr>
                <w:sz w:val="20"/>
                <w:szCs w:val="20"/>
                <w:lang w:val="uk-UA"/>
              </w:rPr>
              <w:t>Балансоутриму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04F64">
              <w:rPr>
                <w:sz w:val="20"/>
                <w:szCs w:val="20"/>
                <w:lang w:val="uk-UA"/>
              </w:rPr>
              <w:t>вачі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>, комунальні підприємства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209,1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703CC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1365,4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належних умов для відпочинку населення</w:t>
            </w:r>
          </w:p>
        </w:tc>
      </w:tr>
      <w:tr w:rsidR="009534B5" w:rsidRPr="005955C4" w:rsidTr="00275D0E">
        <w:trPr>
          <w:cantSplit/>
          <w:trHeight w:val="1424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534B5" w:rsidRPr="00304F64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703CC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84D9C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703CC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775932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1984" w:type="dxa"/>
            <w:vMerge w:val="restart"/>
          </w:tcPr>
          <w:p w:rsidR="009534B5" w:rsidRPr="00EE1F3C" w:rsidRDefault="009534B5" w:rsidP="00275D0E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EE1F3C">
              <w:rPr>
                <w:sz w:val="20"/>
                <w:szCs w:val="20"/>
                <w:lang w:val="uk-UA"/>
              </w:rPr>
              <w:t>техніки для підприємств житлово-комунального господарства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17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УРМГКБ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94568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343,9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CE4196" w:rsidRDefault="009534B5" w:rsidP="00275D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6235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18078,9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C8002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  <w:r w:rsidRPr="00C80027">
              <w:rPr>
                <w:sz w:val="20"/>
                <w:szCs w:val="20"/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9534B5" w:rsidRPr="005955C4" w:rsidTr="00275D0E">
        <w:trPr>
          <w:cantSplit/>
          <w:trHeight w:val="1424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A07CB2" w:rsidTr="00275D0E">
        <w:trPr>
          <w:cantSplit/>
          <w:trHeight w:val="1852"/>
        </w:trPr>
        <w:tc>
          <w:tcPr>
            <w:tcW w:w="456" w:type="dxa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699" w:type="dxa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в’їзних стел, знаків</w:t>
            </w:r>
          </w:p>
        </w:tc>
        <w:tc>
          <w:tcPr>
            <w:tcW w:w="1984" w:type="dxa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в’їзних стел, знаків на в’їздах до населених пунктів Бахмутської міської об’єднаної територіальної громади </w:t>
            </w:r>
          </w:p>
        </w:tc>
        <w:tc>
          <w:tcPr>
            <w:tcW w:w="1134" w:type="dxa"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:rsidR="009534B5" w:rsidRPr="000E0FDF" w:rsidRDefault="009534B5" w:rsidP="00275D0E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9456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2017" w:type="dxa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8 од. в’їзних стел, знаків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1984" w:type="dxa"/>
            <w:vMerge w:val="restart"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Озеленення 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Покращення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873,16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1665,4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233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5F176B">
              <w:rPr>
                <w:sz w:val="20"/>
                <w:szCs w:val="20"/>
                <w:lang w:val="uk-UA"/>
              </w:rPr>
              <w:t>505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8378,56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955C4" w:rsidTr="00275D0E">
        <w:trPr>
          <w:cantSplit/>
          <w:trHeight w:val="13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B71CC8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572984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1984" w:type="dxa"/>
            <w:vMerge w:val="restart"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sz w:val="20"/>
                <w:szCs w:val="20"/>
                <w:lang w:val="uk-UA"/>
              </w:rPr>
              <w:t xml:space="preserve"> утримання зупинок, утримання кладовищ, захоронення безпритульних осіб,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>придбання обладнання для зберігання померлих</w:t>
            </w:r>
            <w:r w:rsidRPr="005F176B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sz w:val="20"/>
                <w:szCs w:val="20"/>
                <w:lang w:val="uk-UA"/>
              </w:rPr>
              <w:t>інше)</w:t>
            </w:r>
            <w:r w:rsidRPr="00E012A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505,7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425280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2402,2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5697,95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9534B5" w:rsidRPr="005955C4" w:rsidTr="00275D0E">
        <w:trPr>
          <w:cantSplit/>
          <w:trHeight w:val="346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425280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C80027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33,7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162,5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425280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496,2</w:t>
            </w:r>
          </w:p>
        </w:tc>
        <w:tc>
          <w:tcPr>
            <w:tcW w:w="2017" w:type="dxa"/>
            <w:vMerge/>
            <w:shd w:val="clear" w:color="auto" w:fill="FFFFFF"/>
          </w:tcPr>
          <w:p w:rsidR="009534B5" w:rsidRPr="00EA691F" w:rsidRDefault="009534B5" w:rsidP="00275D0E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534B5" w:rsidRPr="00646275" w:rsidTr="00275D0E">
        <w:trPr>
          <w:cantSplit/>
          <w:trHeight w:val="85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1699" w:type="dxa"/>
            <w:vMerge w:val="restart"/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1984" w:type="dxa"/>
            <w:vMerge w:val="restart"/>
          </w:tcPr>
          <w:p w:rsidR="009534B5" w:rsidRPr="00CB7106" w:rsidRDefault="009534B5" w:rsidP="00275D0E">
            <w:pPr>
              <w:rPr>
                <w:spacing w:val="-4"/>
                <w:sz w:val="20"/>
                <w:szCs w:val="20"/>
                <w:lang w:val="uk-UA"/>
              </w:rPr>
            </w:pPr>
            <w:r w:rsidRPr="00CB7106">
              <w:rPr>
                <w:spacing w:val="-4"/>
                <w:sz w:val="20"/>
                <w:szCs w:val="20"/>
                <w:lang w:val="uk-UA"/>
              </w:rPr>
              <w:t xml:space="preserve">Розробка проектно-кошторисної документації, документів дозвільного характеру, паспортизація та інвентаризація об’єктів благоустрою (доріг, вулиць, площ, </w:t>
            </w:r>
            <w:proofErr w:type="spellStart"/>
            <w:r w:rsidRPr="00CB7106">
              <w:rPr>
                <w:spacing w:val="-4"/>
                <w:sz w:val="20"/>
                <w:szCs w:val="20"/>
                <w:lang w:val="uk-UA"/>
              </w:rPr>
              <w:t>зливово</w:t>
            </w:r>
            <w:proofErr w:type="spellEnd"/>
            <w:r w:rsidRPr="00CB7106">
              <w:rPr>
                <w:spacing w:val="-4"/>
                <w:sz w:val="20"/>
                <w:szCs w:val="20"/>
                <w:lang w:val="uk-UA"/>
              </w:rPr>
              <w:t xml:space="preserve">-дренажної системи, зелених насаджень) </w:t>
            </w:r>
          </w:p>
        </w:tc>
        <w:tc>
          <w:tcPr>
            <w:tcW w:w="1134" w:type="dxa"/>
            <w:vMerge w:val="restart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 xml:space="preserve">УРМГКБ, </w:t>
            </w:r>
            <w:r>
              <w:rPr>
                <w:sz w:val="20"/>
                <w:szCs w:val="20"/>
                <w:lang w:val="uk-UA"/>
              </w:rPr>
              <w:t>к</w:t>
            </w:r>
            <w:r w:rsidRPr="000E0FDF">
              <w:rPr>
                <w:sz w:val="20"/>
                <w:szCs w:val="20"/>
                <w:lang w:val="uk-UA"/>
              </w:rPr>
              <w:t>омунальні 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міс</w:t>
            </w:r>
            <w:r>
              <w:rPr>
                <w:sz w:val="20"/>
                <w:szCs w:val="20"/>
                <w:lang w:val="uk-UA"/>
              </w:rPr>
              <w:t>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F910A6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1207,7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175ADD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175ADD">
              <w:rPr>
                <w:sz w:val="20"/>
                <w:szCs w:val="20"/>
                <w:lang w:val="uk-UA"/>
              </w:rPr>
              <w:t>1573,6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1621,5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5902,8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9534B5" w:rsidRPr="00304F64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  <w:r w:rsidRPr="00304F64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</w:tr>
      <w:tr w:rsidR="009534B5" w:rsidRPr="005955C4" w:rsidTr="00275D0E">
        <w:trPr>
          <w:cantSplit/>
          <w:trHeight w:val="636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9534B5" w:rsidRPr="00EE1F3C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9534B5" w:rsidRPr="00E012A2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534B5" w:rsidRPr="0064627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534B5" w:rsidRPr="000E0FDF" w:rsidRDefault="009534B5" w:rsidP="00275D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175ADD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534B5" w:rsidRPr="00304F64" w:rsidRDefault="009534B5" w:rsidP="00275D0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534B5" w:rsidRPr="00646275" w:rsidTr="00275D0E">
        <w:trPr>
          <w:cantSplit/>
          <w:trHeight w:val="304"/>
        </w:trPr>
        <w:tc>
          <w:tcPr>
            <w:tcW w:w="456" w:type="dxa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984" w:type="dxa"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534B5" w:rsidRPr="00646275" w:rsidRDefault="009534B5" w:rsidP="00275D0E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CE4196" w:rsidRDefault="009534B5" w:rsidP="00275D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173</w:t>
            </w:r>
            <w:r>
              <w:rPr>
                <w:sz w:val="20"/>
                <w:szCs w:val="20"/>
                <w:lang w:val="uk-UA"/>
              </w:rPr>
              <w:t>09,99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79166,6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100664,9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28323</w:t>
            </w:r>
            <w:r w:rsidRPr="005F176B">
              <w:rPr>
                <w:sz w:val="20"/>
                <w:szCs w:val="20"/>
                <w:lang w:val="uk-UA"/>
              </w:rPr>
              <w:t>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135400,0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460865,29</w:t>
            </w:r>
          </w:p>
        </w:tc>
        <w:tc>
          <w:tcPr>
            <w:tcW w:w="2017" w:type="dxa"/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646275" w:rsidTr="00275D0E">
        <w:trPr>
          <w:cantSplit/>
          <w:trHeight w:val="340"/>
        </w:trPr>
        <w:tc>
          <w:tcPr>
            <w:tcW w:w="456" w:type="dxa"/>
            <w:vMerge w:val="restart"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9534B5" w:rsidRPr="00EE1F3C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1984" w:type="dxa"/>
            <w:vMerge w:val="restart"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gridSpan w:val="3"/>
            <w:tcBorders>
              <w:bottom w:val="dotted" w:sz="4" w:space="0" w:color="auto"/>
            </w:tcBorders>
            <w:vAlign w:val="center"/>
          </w:tcPr>
          <w:p w:rsidR="009534B5" w:rsidRPr="0062734B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державний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42930,3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28382,9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26000,0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20000,0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122329,0</w:t>
            </w:r>
          </w:p>
        </w:tc>
        <w:tc>
          <w:tcPr>
            <w:tcW w:w="2017" w:type="dxa"/>
            <w:tcBorders>
              <w:bottom w:val="dotted" w:sz="4" w:space="0" w:color="auto"/>
            </w:tcBorders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646275" w:rsidTr="00275D0E">
        <w:trPr>
          <w:cantSplit/>
          <w:trHeight w:val="261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62734B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14317,7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14317,7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646275" w:rsidTr="00275D0E">
        <w:trPr>
          <w:cantSplit/>
          <w:trHeight w:val="265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Pr="0062734B" w:rsidRDefault="009534B5" w:rsidP="00275D0E">
            <w:pPr>
              <w:rPr>
                <w:sz w:val="20"/>
                <w:szCs w:val="20"/>
                <w:lang w:val="uk-UA"/>
              </w:rPr>
            </w:pPr>
            <w:r w:rsidRPr="0062734B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12219,49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35955,7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57462,2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83355,0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188992,39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F71789" w:rsidTr="00275D0E">
        <w:trPr>
          <w:cantSplit/>
          <w:trHeight w:val="396"/>
        </w:trPr>
        <w:tc>
          <w:tcPr>
            <w:tcW w:w="456" w:type="dxa"/>
            <w:vMerge/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534B5" w:rsidRDefault="009534B5" w:rsidP="00275D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114880,0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114880,0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  <w:tr w:rsidR="009534B5" w:rsidRPr="00646275" w:rsidTr="00275D0E">
        <w:trPr>
          <w:cantSplit/>
          <w:trHeight w:val="34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9534B5" w:rsidRPr="00646275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9534B5" w:rsidRPr="00EE1F3C" w:rsidRDefault="009534B5" w:rsidP="00275D0E">
            <w:pPr>
              <w:jc w:val="center"/>
              <w:rPr>
                <w:lang w:val="uk-UA"/>
              </w:rPr>
            </w:pP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534B5" w:rsidRPr="00646275" w:rsidRDefault="009534B5" w:rsidP="00275D0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74,7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195709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280,6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Pr="005F176B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18968,8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4B5" w:rsidRDefault="009534B5" w:rsidP="0027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20346,2</w:t>
            </w:r>
          </w:p>
        </w:tc>
        <w:tc>
          <w:tcPr>
            <w:tcW w:w="2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:rsidR="009534B5" w:rsidRPr="00646275" w:rsidRDefault="009534B5" w:rsidP="00275D0E">
            <w:pPr>
              <w:jc w:val="center"/>
              <w:rPr>
                <w:b/>
                <w:lang w:val="uk-UA"/>
              </w:rPr>
            </w:pPr>
          </w:p>
        </w:tc>
      </w:tr>
    </w:tbl>
    <w:p w:rsidR="009534B5" w:rsidRPr="00CB7106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0"/>
          <w:szCs w:val="20"/>
          <w:lang w:val="uk-UA"/>
        </w:rPr>
      </w:pPr>
    </w:p>
    <w:p w:rsidR="009534B5" w:rsidRPr="00E96467" w:rsidRDefault="009534B5" w:rsidP="009534B5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1 «</w:t>
      </w:r>
      <w:r w:rsidRPr="00E96467">
        <w:rPr>
          <w:i/>
          <w:sz w:val="26"/>
          <w:szCs w:val="26"/>
          <w:lang w:val="uk-UA"/>
        </w:rPr>
        <w:t>Заходи з реалізації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9534B5" w:rsidRPr="00CB7106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lang w:val="uk-UA"/>
        </w:rPr>
      </w:pP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Чорноіван</w:t>
      </w:r>
    </w:p>
    <w:p w:rsidR="009534B5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lang w:val="uk-UA"/>
        </w:rPr>
      </w:pPr>
    </w:p>
    <w:p w:rsidR="009534B5" w:rsidRPr="00CB7106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lang w:val="uk-UA"/>
        </w:rPr>
      </w:pPr>
    </w:p>
    <w:p w:rsidR="009534B5" w:rsidRDefault="009534B5" w:rsidP="009534B5">
      <w:pPr>
        <w:ind w:left="284"/>
        <w:rPr>
          <w:b/>
          <w:sz w:val="28"/>
          <w:szCs w:val="28"/>
          <w:lang w:val="uk-UA"/>
        </w:rPr>
        <w:sectPr w:rsidR="009534B5" w:rsidSect="009534B5">
          <w:headerReference w:type="default" r:id="rId10"/>
          <w:pgSz w:w="16838" w:h="11906" w:orient="landscape" w:code="9"/>
          <w:pgMar w:top="1702" w:right="567" w:bottom="709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9534B5" w:rsidRPr="007129D3" w:rsidRDefault="009534B5" w:rsidP="009534B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2</w:t>
      </w:r>
      <w:r w:rsidRPr="007129D3">
        <w:rPr>
          <w:bCs/>
          <w:i/>
          <w:sz w:val="26"/>
          <w:szCs w:val="26"/>
          <w:lang w:val="uk-UA"/>
        </w:rPr>
        <w:t xml:space="preserve"> </w:t>
      </w:r>
    </w:p>
    <w:p w:rsidR="009534B5" w:rsidRPr="00DC03CA" w:rsidRDefault="009534B5" w:rsidP="009534B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</w:t>
      </w:r>
      <w:r w:rsidRPr="00DC03CA">
        <w:rPr>
          <w:bCs/>
          <w:i/>
          <w:sz w:val="26"/>
          <w:szCs w:val="26"/>
          <w:lang w:val="uk-UA"/>
        </w:rPr>
        <w:t xml:space="preserve">Бахмутської міської ради від 22.06.2016 </w:t>
      </w:r>
      <w:r w:rsidRPr="00DC03CA">
        <w:rPr>
          <w:i/>
          <w:sz w:val="26"/>
          <w:szCs w:val="26"/>
          <w:lang w:val="uk-UA"/>
        </w:rPr>
        <w:t>№ 6/87-1546, із змінами</w:t>
      </w:r>
      <w:r w:rsidRPr="00DC03CA">
        <w:rPr>
          <w:bCs/>
          <w:i/>
          <w:sz w:val="26"/>
          <w:szCs w:val="26"/>
          <w:lang w:val="uk-UA"/>
        </w:rPr>
        <w:t xml:space="preserve"> </w:t>
      </w:r>
    </w:p>
    <w:p w:rsidR="009534B5" w:rsidRPr="007129D3" w:rsidRDefault="009534B5" w:rsidP="009534B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2</w:t>
      </w:r>
      <w:r w:rsidRPr="007129D3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27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11</w:t>
      </w:r>
      <w:r w:rsidRPr="007129D3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7129D3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35</w:t>
      </w:r>
      <w:r w:rsidRPr="007129D3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2731</w:t>
      </w:r>
      <w:r w:rsidRPr="007129D3">
        <w:rPr>
          <w:bCs/>
          <w:i/>
          <w:sz w:val="26"/>
          <w:szCs w:val="26"/>
          <w:lang w:val="uk-UA"/>
        </w:rPr>
        <w:t>)</w:t>
      </w:r>
    </w:p>
    <w:p w:rsidR="009534B5" w:rsidRPr="001F369D" w:rsidRDefault="009534B5" w:rsidP="009534B5">
      <w:pPr>
        <w:pStyle w:val="a6"/>
        <w:spacing w:before="0" w:beforeAutospacing="0" w:after="0" w:afterAutospacing="0"/>
        <w:ind w:left="11340"/>
        <w:rPr>
          <w:bCs/>
          <w:i/>
          <w:lang w:val="uk-UA"/>
        </w:rPr>
      </w:pPr>
    </w:p>
    <w:p w:rsidR="009534B5" w:rsidRPr="001F369D" w:rsidRDefault="009534B5" w:rsidP="009534B5">
      <w:pPr>
        <w:ind w:firstLine="709"/>
        <w:jc w:val="center"/>
        <w:rPr>
          <w:b/>
          <w:sz w:val="28"/>
          <w:szCs w:val="28"/>
          <w:lang w:val="uk-UA"/>
        </w:rPr>
      </w:pPr>
    </w:p>
    <w:p w:rsidR="009534B5" w:rsidRPr="001F369D" w:rsidRDefault="009534B5" w:rsidP="009534B5">
      <w:pPr>
        <w:ind w:firstLine="709"/>
        <w:jc w:val="center"/>
        <w:rPr>
          <w:b/>
          <w:sz w:val="28"/>
          <w:szCs w:val="28"/>
          <w:lang w:val="uk-UA"/>
        </w:rPr>
      </w:pPr>
      <w:r w:rsidRPr="001F369D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9534B5" w:rsidRPr="00BC02EE" w:rsidRDefault="009534B5" w:rsidP="009534B5">
      <w:pPr>
        <w:ind w:firstLine="709"/>
        <w:jc w:val="center"/>
        <w:rPr>
          <w:b/>
          <w:sz w:val="23"/>
          <w:szCs w:val="23"/>
          <w:lang w:val="uk-UA"/>
        </w:rPr>
      </w:pPr>
    </w:p>
    <w:tbl>
      <w:tblPr>
        <w:tblW w:w="1540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7478"/>
        <w:gridCol w:w="7"/>
        <w:gridCol w:w="1057"/>
        <w:gridCol w:w="28"/>
        <w:gridCol w:w="1120"/>
        <w:gridCol w:w="965"/>
        <w:gridCol w:w="28"/>
        <w:gridCol w:w="980"/>
        <w:gridCol w:w="1022"/>
        <w:gridCol w:w="952"/>
        <w:gridCol w:w="1176"/>
      </w:tblGrid>
      <w:tr w:rsidR="009534B5" w:rsidRPr="00BC02EE" w:rsidTr="00275D0E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7485" w:type="dxa"/>
            <w:gridSpan w:val="2"/>
            <w:vMerge w:val="restart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057" w:type="dxa"/>
            <w:vMerge w:val="restart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48" w:type="dxa"/>
            <w:gridSpan w:val="2"/>
            <w:vMerge w:val="restart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73" w:type="dxa"/>
            <w:gridSpan w:val="3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74" w:type="dxa"/>
            <w:gridSpan w:val="2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9534B5" w:rsidRPr="00BC02EE" w:rsidTr="00275D0E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7485" w:type="dxa"/>
            <w:gridSpan w:val="2"/>
            <w:vMerge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057" w:type="dxa"/>
            <w:vMerge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" w:type="dxa"/>
            <w:gridSpan w:val="2"/>
            <w:vMerge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2016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2020 рік</w:t>
            </w:r>
          </w:p>
        </w:tc>
      </w:tr>
      <w:tr w:rsidR="009534B5" w:rsidRPr="00BC02EE" w:rsidTr="00275D0E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7485" w:type="dxa"/>
            <w:gridSpan w:val="2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057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48" w:type="dxa"/>
            <w:gridSpan w:val="2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9534B5" w:rsidRPr="00BC02EE" w:rsidTr="00275D0E">
        <w:trPr>
          <w:trHeight w:val="363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9534B5" w:rsidRPr="00BC02EE" w:rsidTr="00275D0E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17309,99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79166,6</w:t>
            </w:r>
          </w:p>
        </w:tc>
        <w:tc>
          <w:tcPr>
            <w:tcW w:w="1022" w:type="dxa"/>
            <w:vAlign w:val="center"/>
          </w:tcPr>
          <w:p w:rsidR="009534B5" w:rsidRPr="001765C7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100664,9</w:t>
            </w:r>
          </w:p>
        </w:tc>
        <w:tc>
          <w:tcPr>
            <w:tcW w:w="952" w:type="dxa"/>
            <w:vAlign w:val="center"/>
          </w:tcPr>
          <w:p w:rsidR="009534B5" w:rsidRPr="001765C7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28323</w:t>
            </w:r>
            <w:r w:rsidRPr="001765C7">
              <w:rPr>
                <w:sz w:val="23"/>
                <w:szCs w:val="23"/>
                <w:lang w:val="uk-UA"/>
              </w:rPr>
              <w:t>,8</w:t>
            </w:r>
          </w:p>
        </w:tc>
        <w:tc>
          <w:tcPr>
            <w:tcW w:w="1176" w:type="dxa"/>
            <w:vAlign w:val="center"/>
          </w:tcPr>
          <w:p w:rsidR="009534B5" w:rsidRPr="001765C7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135400,0</w:t>
            </w:r>
          </w:p>
        </w:tc>
      </w:tr>
      <w:tr w:rsidR="009534B5" w:rsidRPr="00BC02EE" w:rsidTr="00275D0E">
        <w:trPr>
          <w:trHeight w:val="371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9534B5" w:rsidRPr="00BC02EE" w:rsidTr="00275D0E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A37701" w:rsidRDefault="009534B5" w:rsidP="00275D0E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4,195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37,8</w:t>
            </w:r>
          </w:p>
        </w:tc>
        <w:tc>
          <w:tcPr>
            <w:tcW w:w="1022" w:type="dxa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38,605</w:t>
            </w:r>
          </w:p>
        </w:tc>
        <w:tc>
          <w:tcPr>
            <w:tcW w:w="952" w:type="dxa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  <w:r w:rsidRPr="00A37701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176" w:type="dxa"/>
            <w:vAlign w:val="center"/>
          </w:tcPr>
          <w:p w:rsidR="009534B5" w:rsidRPr="00A37701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24,0</w:t>
            </w:r>
          </w:p>
        </w:tc>
      </w:tr>
      <w:tr w:rsidR="009534B5" w:rsidRPr="00BC02EE" w:rsidTr="00275D0E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0,305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4B02FD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4B02FD">
              <w:rPr>
                <w:sz w:val="23"/>
                <w:szCs w:val="23"/>
                <w:lang w:val="uk-UA"/>
              </w:rPr>
              <w:t>32,9</w:t>
            </w:r>
          </w:p>
        </w:tc>
        <w:tc>
          <w:tcPr>
            <w:tcW w:w="1022" w:type="dxa"/>
            <w:vAlign w:val="center"/>
          </w:tcPr>
          <w:p w:rsidR="009534B5" w:rsidRPr="004B02FD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28,095</w:t>
            </w:r>
          </w:p>
        </w:tc>
        <w:tc>
          <w:tcPr>
            <w:tcW w:w="952" w:type="dxa"/>
            <w:vAlign w:val="center"/>
          </w:tcPr>
          <w:p w:rsidR="009534B5" w:rsidRPr="004B02FD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4B02FD">
              <w:rPr>
                <w:sz w:val="23"/>
                <w:szCs w:val="23"/>
                <w:lang w:val="uk-UA"/>
              </w:rPr>
              <w:t>1,</w:t>
            </w:r>
            <w:r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1176" w:type="dxa"/>
            <w:vAlign w:val="center"/>
          </w:tcPr>
          <w:p w:rsidR="009534B5" w:rsidRPr="004B02FD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11,0</w:t>
            </w:r>
          </w:p>
        </w:tc>
      </w:tr>
      <w:tr w:rsidR="009534B5" w:rsidRPr="00BC02EE" w:rsidTr="00275D0E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7,157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5,8</w:t>
            </w:r>
          </w:p>
        </w:tc>
        <w:tc>
          <w:tcPr>
            <w:tcW w:w="102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6,043</w:t>
            </w:r>
          </w:p>
        </w:tc>
        <w:tc>
          <w:tcPr>
            <w:tcW w:w="95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  <w:r w:rsidRPr="00E3373F">
              <w:rPr>
                <w:sz w:val="23"/>
                <w:szCs w:val="23"/>
                <w:lang w:val="uk-UA"/>
              </w:rPr>
              <w:t>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</w:tr>
      <w:tr w:rsidR="009534B5" w:rsidRPr="00BC02EE" w:rsidTr="00275D0E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5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9534B5" w:rsidRPr="00BC02EE" w:rsidTr="00275D0E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11,8</w:t>
            </w:r>
            <w:r>
              <w:rPr>
                <w:sz w:val="23"/>
                <w:szCs w:val="23"/>
                <w:lang w:val="uk-UA"/>
              </w:rPr>
              <w:t>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18,8</w:t>
            </w:r>
          </w:p>
        </w:tc>
        <w:tc>
          <w:tcPr>
            <w:tcW w:w="102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5,4</w:t>
            </w:r>
          </w:p>
        </w:tc>
        <w:tc>
          <w:tcPr>
            <w:tcW w:w="95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9,51</w:t>
            </w:r>
          </w:p>
        </w:tc>
        <w:tc>
          <w:tcPr>
            <w:tcW w:w="1176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9,4</w:t>
            </w:r>
          </w:p>
        </w:tc>
      </w:tr>
      <w:tr w:rsidR="009534B5" w:rsidRPr="00BC02EE" w:rsidTr="00275D0E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6.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9534B5" w:rsidRPr="001F369D" w:rsidTr="00275D0E">
        <w:trPr>
          <w:trHeight w:val="562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скульптурних фігур, </w:t>
            </w:r>
            <w:proofErr w:type="spellStart"/>
            <w:r w:rsidRPr="00BC02EE">
              <w:rPr>
                <w:sz w:val="23"/>
                <w:szCs w:val="23"/>
                <w:lang w:val="uk-UA"/>
              </w:rPr>
              <w:t>МАФів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, які планується встановити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02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9534B5" w:rsidRPr="00E3373F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</w:tr>
      <w:tr w:rsidR="009534B5" w:rsidRPr="001F369D" w:rsidTr="00275D0E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lastRenderedPageBreak/>
              <w:t xml:space="preserve">8. 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9534B5" w:rsidRPr="00AB6792" w:rsidRDefault="009534B5" w:rsidP="00275D0E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02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176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9534B5" w:rsidRPr="001F369D" w:rsidTr="00275D0E">
        <w:trPr>
          <w:trHeight w:val="369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9534B5" w:rsidRPr="001F369D" w:rsidTr="00275D0E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3,5</w:t>
            </w:r>
          </w:p>
        </w:tc>
        <w:tc>
          <w:tcPr>
            <w:tcW w:w="102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5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176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25</w:t>
            </w:r>
          </w:p>
        </w:tc>
      </w:tr>
      <w:tr w:rsidR="009534B5" w:rsidRPr="001F369D" w:rsidTr="00275D0E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02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1176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20</w:t>
            </w:r>
          </w:p>
        </w:tc>
      </w:tr>
      <w:tr w:rsidR="009534B5" w:rsidRPr="001F369D" w:rsidTr="00275D0E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534B5" w:rsidRPr="00BC02EE" w:rsidRDefault="009534B5" w:rsidP="00275D0E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BC02EE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25</w:t>
            </w:r>
          </w:p>
        </w:tc>
        <w:tc>
          <w:tcPr>
            <w:tcW w:w="95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28</w:t>
            </w:r>
          </w:p>
        </w:tc>
        <w:tc>
          <w:tcPr>
            <w:tcW w:w="1176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</w:p>
        </w:tc>
      </w:tr>
      <w:tr w:rsidR="009534B5" w:rsidRPr="001F369D" w:rsidTr="00275D0E">
        <w:trPr>
          <w:trHeight w:val="365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9534B5" w:rsidRPr="001F369D" w:rsidTr="00275D0E">
        <w:tc>
          <w:tcPr>
            <w:tcW w:w="595" w:type="dxa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</w:tcPr>
          <w:p w:rsidR="009534B5" w:rsidRPr="00AB6792" w:rsidRDefault="009534B5" w:rsidP="00275D0E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стану, порівняно з попереднім роком</w:t>
            </w:r>
          </w:p>
        </w:tc>
        <w:tc>
          <w:tcPr>
            <w:tcW w:w="1092" w:type="dxa"/>
            <w:gridSpan w:val="3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952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40</w:t>
            </w:r>
          </w:p>
        </w:tc>
        <w:tc>
          <w:tcPr>
            <w:tcW w:w="1176" w:type="dxa"/>
            <w:vAlign w:val="center"/>
          </w:tcPr>
          <w:p w:rsidR="009534B5" w:rsidRPr="00AB6792" w:rsidRDefault="009534B5" w:rsidP="00275D0E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50</w:t>
            </w:r>
          </w:p>
        </w:tc>
      </w:tr>
    </w:tbl>
    <w:p w:rsidR="009534B5" w:rsidRPr="001F369D" w:rsidRDefault="009534B5" w:rsidP="009534B5">
      <w:pPr>
        <w:rPr>
          <w:i/>
          <w:sz w:val="28"/>
          <w:szCs w:val="28"/>
          <w:lang w:val="uk-UA"/>
        </w:rPr>
      </w:pPr>
    </w:p>
    <w:p w:rsidR="009534B5" w:rsidRPr="00E96467" w:rsidRDefault="009534B5" w:rsidP="009534B5">
      <w:pPr>
        <w:ind w:left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2 «</w:t>
      </w:r>
      <w:r w:rsidRPr="007129D3">
        <w:rPr>
          <w:i/>
          <w:sz w:val="26"/>
          <w:szCs w:val="26"/>
          <w:lang w:val="uk-UA"/>
        </w:rPr>
        <w:t>Показники результативності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9534B5" w:rsidRPr="001F369D" w:rsidRDefault="009534B5" w:rsidP="009534B5">
      <w:pPr>
        <w:rPr>
          <w:i/>
          <w:sz w:val="28"/>
          <w:szCs w:val="28"/>
          <w:lang w:val="uk-UA"/>
        </w:rPr>
      </w:pP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9534B5" w:rsidRPr="00841264" w:rsidRDefault="009534B5" w:rsidP="009534B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Чорноіван</w:t>
      </w:r>
    </w:p>
    <w:p w:rsidR="009534B5" w:rsidRDefault="009534B5" w:rsidP="009534B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9534B5" w:rsidRPr="00841264" w:rsidRDefault="009534B5" w:rsidP="009534B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9534B5" w:rsidRDefault="009534B5" w:rsidP="009534B5">
      <w:pPr>
        <w:ind w:left="284"/>
        <w:rPr>
          <w:b/>
          <w:sz w:val="28"/>
          <w:szCs w:val="28"/>
          <w:lang w:val="uk-UA"/>
        </w:rPr>
        <w:sectPr w:rsidR="009534B5" w:rsidSect="009534B5">
          <w:headerReference w:type="default" r:id="rId11"/>
          <w:pgSz w:w="16838" w:h="11906" w:orient="landscape" w:code="9"/>
          <w:pgMar w:top="993" w:right="567" w:bottom="851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9534B5" w:rsidRPr="002552D2" w:rsidRDefault="009534B5" w:rsidP="009534B5">
      <w:pPr>
        <w:ind w:left="5387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lastRenderedPageBreak/>
        <w:t xml:space="preserve">Додаток </w:t>
      </w:r>
      <w:r>
        <w:rPr>
          <w:i/>
          <w:sz w:val="26"/>
          <w:szCs w:val="26"/>
          <w:lang w:val="uk-UA"/>
        </w:rPr>
        <w:t>3</w:t>
      </w:r>
      <w:bookmarkStart w:id="0" w:name="_GoBack"/>
      <w:bookmarkEnd w:id="0"/>
    </w:p>
    <w:p w:rsidR="009534B5" w:rsidRPr="002552D2" w:rsidRDefault="009534B5" w:rsidP="009534B5">
      <w:pPr>
        <w:ind w:left="5387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до Програми благоустрою на 2016-2020 роки, затвердженої рішенням Бахмутської міської ради</w:t>
      </w:r>
    </w:p>
    <w:p w:rsidR="009534B5" w:rsidRPr="002552D2" w:rsidRDefault="009534B5" w:rsidP="009534B5">
      <w:pPr>
        <w:ind w:left="5387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 22.06.2016 № 6/87-1546</w:t>
      </w:r>
      <w:r>
        <w:rPr>
          <w:i/>
          <w:sz w:val="26"/>
          <w:szCs w:val="26"/>
          <w:lang w:val="uk-UA"/>
        </w:rPr>
        <w:t>, із змінами</w:t>
      </w:r>
    </w:p>
    <w:p w:rsidR="009534B5" w:rsidRDefault="009534B5" w:rsidP="009534B5">
      <w:pPr>
        <w:ind w:left="5387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(</w:t>
      </w:r>
      <w:r>
        <w:rPr>
          <w:i/>
          <w:sz w:val="26"/>
          <w:szCs w:val="26"/>
          <w:lang w:val="uk-UA"/>
        </w:rPr>
        <w:t>Додаток 3</w:t>
      </w:r>
      <w:r w:rsidRPr="002552D2">
        <w:rPr>
          <w:i/>
          <w:sz w:val="26"/>
          <w:szCs w:val="26"/>
          <w:lang w:val="uk-UA"/>
        </w:rPr>
        <w:t xml:space="preserve"> у редакції рішення Бахмутської міської ради </w:t>
      </w:r>
    </w:p>
    <w:p w:rsidR="009534B5" w:rsidRPr="002552D2" w:rsidRDefault="009534B5" w:rsidP="009534B5">
      <w:pPr>
        <w:ind w:left="5387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в</w:t>
      </w:r>
      <w:r w:rsidRPr="002552D2">
        <w:rPr>
          <w:i/>
          <w:sz w:val="26"/>
          <w:szCs w:val="26"/>
          <w:lang w:val="uk-UA"/>
        </w:rPr>
        <w:t>ід</w:t>
      </w:r>
      <w:r>
        <w:rPr>
          <w:i/>
          <w:sz w:val="26"/>
          <w:szCs w:val="26"/>
          <w:lang w:val="uk-UA"/>
        </w:rPr>
        <w:t xml:space="preserve"> 27.11.2019 № 6/135-2731)</w:t>
      </w:r>
    </w:p>
    <w:p w:rsidR="009534B5" w:rsidRDefault="009534B5" w:rsidP="009534B5">
      <w:pPr>
        <w:jc w:val="center"/>
        <w:rPr>
          <w:b/>
          <w:bCs/>
          <w:sz w:val="28"/>
          <w:szCs w:val="28"/>
          <w:lang w:val="uk-UA"/>
        </w:rPr>
      </w:pPr>
    </w:p>
    <w:p w:rsidR="009534B5" w:rsidRPr="009F1CA7" w:rsidRDefault="009534B5" w:rsidP="009534B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Pr="009F1CA7">
        <w:rPr>
          <w:b/>
          <w:bCs/>
          <w:sz w:val="28"/>
          <w:szCs w:val="28"/>
          <w:lang w:val="uk-UA"/>
        </w:rPr>
        <w:t>ЕСУРСНЕ ЗАБЕЗПЕЧЕННЯ ПРОГРАМИ</w:t>
      </w:r>
    </w:p>
    <w:p w:rsidR="009534B5" w:rsidRPr="009F1CA7" w:rsidRDefault="009534B5" w:rsidP="009534B5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r w:rsidRPr="009F1CA7">
        <w:rPr>
          <w:b/>
          <w:bCs/>
          <w:lang w:val="uk-UA"/>
        </w:rPr>
        <w:t>тис.</w:t>
      </w:r>
      <w:r>
        <w:rPr>
          <w:b/>
          <w:bCs/>
          <w:lang w:val="uk-UA"/>
        </w:rPr>
        <w:t xml:space="preserve"> </w:t>
      </w:r>
      <w:r w:rsidRPr="009F1CA7">
        <w:rPr>
          <w:b/>
          <w:bCs/>
          <w:lang w:val="uk-UA"/>
        </w:rPr>
        <w:t>грн.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992"/>
        <w:gridCol w:w="992"/>
        <w:gridCol w:w="992"/>
        <w:gridCol w:w="993"/>
        <w:gridCol w:w="1104"/>
        <w:gridCol w:w="1418"/>
      </w:tblGrid>
      <w:tr w:rsidR="009534B5" w:rsidRPr="009F1CA7" w:rsidTr="00275D0E">
        <w:trPr>
          <w:trHeight w:val="512"/>
        </w:trPr>
        <w:tc>
          <w:tcPr>
            <w:tcW w:w="3148" w:type="dxa"/>
            <w:vMerge w:val="restart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073" w:type="dxa"/>
            <w:gridSpan w:val="5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9534B5" w:rsidRPr="009F1CA7" w:rsidTr="00275D0E">
        <w:trPr>
          <w:trHeight w:val="420"/>
        </w:trPr>
        <w:tc>
          <w:tcPr>
            <w:tcW w:w="3148" w:type="dxa"/>
            <w:vMerge/>
            <w:shd w:val="clear" w:color="auto" w:fill="DBE5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9534B5" w:rsidRPr="009F1CA7" w:rsidTr="00275D0E">
        <w:tc>
          <w:tcPr>
            <w:tcW w:w="3148" w:type="dxa"/>
            <w:vMerge/>
            <w:shd w:val="clear" w:color="auto" w:fill="DBE5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1418" w:type="dxa"/>
            <w:vMerge/>
            <w:shd w:val="clear" w:color="auto" w:fill="C6D9F1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  <w:lang w:val="uk-UA"/>
              </w:rPr>
            </w:pPr>
          </w:p>
        </w:tc>
      </w:tr>
      <w:tr w:rsidR="009534B5" w:rsidRPr="009F1CA7" w:rsidTr="00275D0E">
        <w:tc>
          <w:tcPr>
            <w:tcW w:w="3148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7</w:t>
            </w:r>
          </w:p>
        </w:tc>
      </w:tr>
      <w:tr w:rsidR="009534B5" w:rsidRPr="009F1CA7" w:rsidTr="00275D0E">
        <w:tc>
          <w:tcPr>
            <w:tcW w:w="3148" w:type="dxa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17309,99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79166,6</w:t>
            </w:r>
          </w:p>
        </w:tc>
        <w:tc>
          <w:tcPr>
            <w:tcW w:w="992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100664,9</w:t>
            </w:r>
          </w:p>
        </w:tc>
        <w:tc>
          <w:tcPr>
            <w:tcW w:w="993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28323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,8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35400,0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4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60865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,29</w:t>
            </w:r>
          </w:p>
        </w:tc>
      </w:tr>
      <w:tr w:rsidR="009534B5" w:rsidRPr="009F1CA7" w:rsidTr="00275D0E">
        <w:trPr>
          <w:trHeight w:val="526"/>
        </w:trPr>
        <w:tc>
          <w:tcPr>
            <w:tcW w:w="3148" w:type="dxa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5015,8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42930,3</w:t>
            </w:r>
          </w:p>
        </w:tc>
        <w:tc>
          <w:tcPr>
            <w:tcW w:w="992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28382,9</w:t>
            </w:r>
          </w:p>
        </w:tc>
        <w:tc>
          <w:tcPr>
            <w:tcW w:w="993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26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000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20000,0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122329,0</w:t>
            </w:r>
          </w:p>
        </w:tc>
      </w:tr>
      <w:tr w:rsidR="009534B5" w:rsidRPr="009F1CA7" w:rsidTr="00275D0E">
        <w:trPr>
          <w:trHeight w:val="548"/>
        </w:trPr>
        <w:tc>
          <w:tcPr>
            <w:tcW w:w="3148" w:type="dxa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14317,7</w:t>
            </w:r>
          </w:p>
        </w:tc>
        <w:tc>
          <w:tcPr>
            <w:tcW w:w="993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14317,7</w:t>
            </w:r>
          </w:p>
        </w:tc>
      </w:tr>
      <w:tr w:rsidR="009534B5" w:rsidRPr="009F1CA7" w:rsidTr="00275D0E">
        <w:trPr>
          <w:trHeight w:val="548"/>
        </w:trPr>
        <w:tc>
          <w:tcPr>
            <w:tcW w:w="3148" w:type="dxa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12219,49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35955,7</w:t>
            </w:r>
          </w:p>
        </w:tc>
        <w:tc>
          <w:tcPr>
            <w:tcW w:w="992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57462,2</w:t>
            </w:r>
          </w:p>
        </w:tc>
        <w:tc>
          <w:tcPr>
            <w:tcW w:w="993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83355,0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188992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,39</w:t>
            </w:r>
          </w:p>
        </w:tc>
      </w:tr>
      <w:tr w:rsidR="009534B5" w:rsidRPr="009F1CA7" w:rsidTr="00275D0E">
        <w:trPr>
          <w:trHeight w:val="548"/>
        </w:trPr>
        <w:tc>
          <w:tcPr>
            <w:tcW w:w="3148" w:type="dxa"/>
            <w:vAlign w:val="center"/>
          </w:tcPr>
          <w:p w:rsidR="009534B5" w:rsidRPr="00C53FAB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  <w:lang w:val="uk-UA"/>
              </w:rPr>
              <w:t xml:space="preserve">юджет </w:t>
            </w:r>
            <w:r w:rsidRPr="00C53FAB">
              <w:rPr>
                <w:color w:val="000000"/>
                <w:sz w:val="26"/>
                <w:szCs w:val="26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992" w:type="dxa"/>
            <w:vAlign w:val="center"/>
          </w:tcPr>
          <w:p w:rsidR="009534B5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534B5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9534B5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9534B5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114880,0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148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80,0</w:t>
            </w:r>
          </w:p>
        </w:tc>
      </w:tr>
      <w:tr w:rsidR="009534B5" w:rsidRPr="009F1CA7" w:rsidTr="00275D0E">
        <w:trPr>
          <w:trHeight w:val="478"/>
        </w:trPr>
        <w:tc>
          <w:tcPr>
            <w:tcW w:w="3148" w:type="dxa"/>
            <w:vAlign w:val="center"/>
          </w:tcPr>
          <w:p w:rsidR="009534B5" w:rsidRPr="009F1CA7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74</w:t>
            </w:r>
            <w:r w:rsidRPr="00677766">
              <w:rPr>
                <w:rFonts w:ascii="Times New Roman CYR" w:hAnsi="Times New Roman CYR"/>
                <w:sz w:val="20"/>
                <w:lang w:val="uk-UA"/>
              </w:rPr>
              <w:t>,7</w:t>
            </w:r>
          </w:p>
        </w:tc>
        <w:tc>
          <w:tcPr>
            <w:tcW w:w="992" w:type="dxa"/>
            <w:vAlign w:val="center"/>
          </w:tcPr>
          <w:p w:rsidR="009534B5" w:rsidRPr="00677766" w:rsidRDefault="009534B5" w:rsidP="00275D0E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280,6</w:t>
            </w:r>
          </w:p>
        </w:tc>
        <w:tc>
          <w:tcPr>
            <w:tcW w:w="992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502,1</w:t>
            </w:r>
          </w:p>
        </w:tc>
        <w:tc>
          <w:tcPr>
            <w:tcW w:w="993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18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968,8</w:t>
            </w:r>
          </w:p>
        </w:tc>
        <w:tc>
          <w:tcPr>
            <w:tcW w:w="1104" w:type="dxa"/>
            <w:vAlign w:val="center"/>
          </w:tcPr>
          <w:p w:rsidR="009534B5" w:rsidRPr="00287A91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520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418" w:type="dxa"/>
            <w:vAlign w:val="center"/>
          </w:tcPr>
          <w:p w:rsidR="009534B5" w:rsidRPr="001E7B6D" w:rsidRDefault="009534B5" w:rsidP="00275D0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20346,2</w:t>
            </w:r>
          </w:p>
        </w:tc>
      </w:tr>
    </w:tbl>
    <w:p w:rsidR="009534B5" w:rsidRDefault="009534B5" w:rsidP="009534B5">
      <w:pPr>
        <w:jc w:val="both"/>
        <w:rPr>
          <w:sz w:val="28"/>
          <w:szCs w:val="28"/>
          <w:lang w:val="uk-UA"/>
        </w:rPr>
      </w:pPr>
      <w:bookmarkStart w:id="1" w:name="n52"/>
      <w:bookmarkStart w:id="2" w:name="n53"/>
      <w:bookmarkStart w:id="3" w:name="n54"/>
      <w:bookmarkStart w:id="4" w:name="n55"/>
      <w:bookmarkEnd w:id="1"/>
      <w:bookmarkEnd w:id="2"/>
      <w:bookmarkEnd w:id="3"/>
      <w:bookmarkEnd w:id="4"/>
      <w:r w:rsidRPr="009F1CA7">
        <w:rPr>
          <w:sz w:val="28"/>
          <w:szCs w:val="28"/>
          <w:lang w:val="uk-UA"/>
        </w:rPr>
        <w:tab/>
      </w:r>
    </w:p>
    <w:p w:rsidR="009534B5" w:rsidRPr="00090B28" w:rsidRDefault="009534B5" w:rsidP="009534B5">
      <w:pPr>
        <w:jc w:val="both"/>
        <w:rPr>
          <w:i/>
          <w:sz w:val="26"/>
          <w:szCs w:val="26"/>
          <w:lang w:val="uk-UA"/>
        </w:rPr>
      </w:pPr>
      <w:r w:rsidRPr="00090B28">
        <w:rPr>
          <w:i/>
          <w:sz w:val="26"/>
          <w:szCs w:val="26"/>
          <w:lang w:val="uk-UA"/>
        </w:rPr>
        <w:t>Додаток 3 «Ресурсне забезпечення Програми» до Програми благоустрою на 2016-2020 роки, затвердженої рішенням Бахмутської міської ради від 22.06.2016 № 6/87-1546,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9534B5" w:rsidRDefault="009534B5" w:rsidP="009534B5">
      <w:pPr>
        <w:rPr>
          <w:b/>
          <w:sz w:val="28"/>
          <w:szCs w:val="28"/>
          <w:lang w:val="uk-UA"/>
        </w:rPr>
      </w:pPr>
    </w:p>
    <w:p w:rsidR="009534B5" w:rsidRDefault="009534B5" w:rsidP="009534B5">
      <w:pPr>
        <w:rPr>
          <w:b/>
          <w:sz w:val="28"/>
          <w:szCs w:val="28"/>
          <w:lang w:val="uk-UA"/>
        </w:rPr>
      </w:pP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С.П. Чорноіван</w:t>
      </w:r>
    </w:p>
    <w:p w:rsidR="009534B5" w:rsidRDefault="009534B5" w:rsidP="009534B5">
      <w:pPr>
        <w:rPr>
          <w:b/>
          <w:sz w:val="28"/>
          <w:szCs w:val="28"/>
          <w:lang w:val="uk-UA"/>
        </w:rPr>
      </w:pP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</w:p>
    <w:p w:rsidR="009534B5" w:rsidRPr="00034510" w:rsidRDefault="009534B5" w:rsidP="009534B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Кіщенко</w:t>
      </w:r>
    </w:p>
    <w:p w:rsidR="009534B5" w:rsidRPr="009F1CA7" w:rsidRDefault="009534B5" w:rsidP="009534B5">
      <w:pPr>
        <w:jc w:val="both"/>
        <w:rPr>
          <w:sz w:val="28"/>
          <w:szCs w:val="28"/>
          <w:lang w:val="uk-UA"/>
        </w:rPr>
      </w:pPr>
    </w:p>
    <w:p w:rsidR="009534B5" w:rsidRDefault="009534B5" w:rsidP="009534B5">
      <w:pPr>
        <w:ind w:left="284"/>
        <w:rPr>
          <w:b/>
          <w:sz w:val="28"/>
          <w:szCs w:val="28"/>
          <w:lang w:val="uk-UA"/>
        </w:rPr>
      </w:pPr>
    </w:p>
    <w:sectPr w:rsidR="009534B5" w:rsidSect="009534B5">
      <w:headerReference w:type="first" r:id="rId12"/>
      <w:pgSz w:w="11906" w:h="16838"/>
      <w:pgMar w:top="1135" w:right="567" w:bottom="1135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66" w:rsidRDefault="00457666" w:rsidP="00120E22">
      <w:r>
        <w:separator/>
      </w:r>
    </w:p>
  </w:endnote>
  <w:endnote w:type="continuationSeparator" w:id="0">
    <w:p w:rsidR="00457666" w:rsidRDefault="00457666" w:rsidP="0012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66" w:rsidRDefault="00457666" w:rsidP="00120E22">
      <w:r>
        <w:separator/>
      </w:r>
    </w:p>
  </w:footnote>
  <w:footnote w:type="continuationSeparator" w:id="0">
    <w:p w:rsidR="00457666" w:rsidRDefault="00457666" w:rsidP="00120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523523"/>
      <w:docPartObj>
        <w:docPartGallery w:val="Page Numbers (Top of Page)"/>
        <w:docPartUnique/>
      </w:docPartObj>
    </w:sdtPr>
    <w:sdtEndPr/>
    <w:sdtContent>
      <w:p w:rsidR="004D4133" w:rsidRDefault="004D41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4B5">
          <w:rPr>
            <w:noProof/>
          </w:rPr>
          <w:t>3</w:t>
        </w:r>
        <w:r>
          <w:fldChar w:fldCharType="end"/>
        </w:r>
      </w:p>
    </w:sdtContent>
  </w:sdt>
  <w:p w:rsidR="00120E22" w:rsidRDefault="00120E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A3" w:rsidRDefault="0045766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34B5">
      <w:rPr>
        <w:noProof/>
      </w:rPr>
      <w:t>8</w:t>
    </w:r>
    <w:r>
      <w:fldChar w:fldCharType="end"/>
    </w:r>
  </w:p>
  <w:p w:rsidR="006D47A3" w:rsidRDefault="0045766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</w:p>
  <w:p w:rsidR="00120E22" w:rsidRDefault="00120E22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42D" w:rsidRDefault="0045766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34B5">
      <w:rPr>
        <w:noProof/>
      </w:rPr>
      <w:t>1</w:t>
    </w:r>
    <w:r>
      <w:fldChar w:fldCharType="end"/>
    </w:r>
  </w:p>
  <w:p w:rsidR="00BF342D" w:rsidRDefault="0045766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221B1819"/>
    <w:multiLevelType w:val="hybridMultilevel"/>
    <w:tmpl w:val="CCAECDDC"/>
    <w:lvl w:ilvl="0" w:tplc="33247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66010"/>
    <w:multiLevelType w:val="hybridMultilevel"/>
    <w:tmpl w:val="4A74D138"/>
    <w:lvl w:ilvl="0" w:tplc="DE724C22">
      <w:start w:val="1"/>
      <w:numFmt w:val="bullet"/>
      <w:lvlText w:val="-"/>
      <w:lvlJc w:val="left"/>
      <w:pPr>
        <w:ind w:left="2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7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18"/>
  </w:num>
  <w:num w:numId="7">
    <w:abstractNumId w:val="12"/>
  </w:num>
  <w:num w:numId="8">
    <w:abstractNumId w:val="7"/>
  </w:num>
  <w:num w:numId="9">
    <w:abstractNumId w:val="9"/>
  </w:num>
  <w:num w:numId="10">
    <w:abstractNumId w:val="19"/>
  </w:num>
  <w:num w:numId="11">
    <w:abstractNumId w:val="13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6"/>
  </w:num>
  <w:num w:numId="18">
    <w:abstractNumId w:val="21"/>
  </w:num>
  <w:num w:numId="19">
    <w:abstractNumId w:val="4"/>
  </w:num>
  <w:num w:numId="20">
    <w:abstractNumId w:val="8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C7"/>
    <w:rsid w:val="00005C13"/>
    <w:rsid w:val="00012078"/>
    <w:rsid w:val="00017556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2342"/>
    <w:rsid w:val="000561C7"/>
    <w:rsid w:val="000605EA"/>
    <w:rsid w:val="00066D29"/>
    <w:rsid w:val="00072453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6374"/>
    <w:rsid w:val="000B666E"/>
    <w:rsid w:val="000B7998"/>
    <w:rsid w:val="000C2126"/>
    <w:rsid w:val="000C6175"/>
    <w:rsid w:val="000D307D"/>
    <w:rsid w:val="000D5DAE"/>
    <w:rsid w:val="000E0FDF"/>
    <w:rsid w:val="000E181E"/>
    <w:rsid w:val="000F34D8"/>
    <w:rsid w:val="0010157D"/>
    <w:rsid w:val="00102392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6BBD"/>
    <w:rsid w:val="0016709A"/>
    <w:rsid w:val="001675CE"/>
    <w:rsid w:val="00170571"/>
    <w:rsid w:val="0017193A"/>
    <w:rsid w:val="00172EF1"/>
    <w:rsid w:val="0017526F"/>
    <w:rsid w:val="00184BD7"/>
    <w:rsid w:val="00184F67"/>
    <w:rsid w:val="00191286"/>
    <w:rsid w:val="001968E6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337F"/>
    <w:rsid w:val="001F1636"/>
    <w:rsid w:val="001F369D"/>
    <w:rsid w:val="001F3EE7"/>
    <w:rsid w:val="001F40CD"/>
    <w:rsid w:val="00203AF4"/>
    <w:rsid w:val="00213695"/>
    <w:rsid w:val="00216119"/>
    <w:rsid w:val="00216719"/>
    <w:rsid w:val="002173DF"/>
    <w:rsid w:val="002204A9"/>
    <w:rsid w:val="00223347"/>
    <w:rsid w:val="0023440D"/>
    <w:rsid w:val="00235B6F"/>
    <w:rsid w:val="00237FFC"/>
    <w:rsid w:val="002407C3"/>
    <w:rsid w:val="00240E92"/>
    <w:rsid w:val="0024105C"/>
    <w:rsid w:val="00245F83"/>
    <w:rsid w:val="00252ECE"/>
    <w:rsid w:val="002537F7"/>
    <w:rsid w:val="00254263"/>
    <w:rsid w:val="0025461C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40AC"/>
    <w:rsid w:val="00296259"/>
    <w:rsid w:val="002A1098"/>
    <w:rsid w:val="002A183A"/>
    <w:rsid w:val="002A377C"/>
    <w:rsid w:val="002A397C"/>
    <w:rsid w:val="002A45A0"/>
    <w:rsid w:val="002B0D84"/>
    <w:rsid w:val="002B239B"/>
    <w:rsid w:val="002B23FF"/>
    <w:rsid w:val="002B447E"/>
    <w:rsid w:val="002C482D"/>
    <w:rsid w:val="002C62D6"/>
    <w:rsid w:val="002C6F5D"/>
    <w:rsid w:val="002D0667"/>
    <w:rsid w:val="002D12D0"/>
    <w:rsid w:val="002D5162"/>
    <w:rsid w:val="002E1045"/>
    <w:rsid w:val="002E2D4A"/>
    <w:rsid w:val="0030045F"/>
    <w:rsid w:val="00304F64"/>
    <w:rsid w:val="00316C4E"/>
    <w:rsid w:val="0032356B"/>
    <w:rsid w:val="00326108"/>
    <w:rsid w:val="003272A3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3C2F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7C61"/>
    <w:rsid w:val="003E0669"/>
    <w:rsid w:val="003E447E"/>
    <w:rsid w:val="003E4891"/>
    <w:rsid w:val="003E4FCD"/>
    <w:rsid w:val="003F0F50"/>
    <w:rsid w:val="003F14F7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57666"/>
    <w:rsid w:val="00460318"/>
    <w:rsid w:val="00461EB7"/>
    <w:rsid w:val="00462B5F"/>
    <w:rsid w:val="00476860"/>
    <w:rsid w:val="0049020B"/>
    <w:rsid w:val="004955AF"/>
    <w:rsid w:val="00496885"/>
    <w:rsid w:val="004A2717"/>
    <w:rsid w:val="004A394F"/>
    <w:rsid w:val="004A456C"/>
    <w:rsid w:val="004A5777"/>
    <w:rsid w:val="004A6589"/>
    <w:rsid w:val="004B3E72"/>
    <w:rsid w:val="004B4E9D"/>
    <w:rsid w:val="004B675A"/>
    <w:rsid w:val="004C560A"/>
    <w:rsid w:val="004C6763"/>
    <w:rsid w:val="004C70DB"/>
    <w:rsid w:val="004D4133"/>
    <w:rsid w:val="004E003C"/>
    <w:rsid w:val="004F07C9"/>
    <w:rsid w:val="004F234E"/>
    <w:rsid w:val="004F6F99"/>
    <w:rsid w:val="005019BB"/>
    <w:rsid w:val="00502857"/>
    <w:rsid w:val="00510F7A"/>
    <w:rsid w:val="0051321F"/>
    <w:rsid w:val="00513CEE"/>
    <w:rsid w:val="005203A5"/>
    <w:rsid w:val="00521DD6"/>
    <w:rsid w:val="005221A7"/>
    <w:rsid w:val="00523341"/>
    <w:rsid w:val="00524F46"/>
    <w:rsid w:val="00527EA7"/>
    <w:rsid w:val="00534553"/>
    <w:rsid w:val="00536465"/>
    <w:rsid w:val="005425A4"/>
    <w:rsid w:val="00547E0C"/>
    <w:rsid w:val="00557457"/>
    <w:rsid w:val="005706A8"/>
    <w:rsid w:val="00576943"/>
    <w:rsid w:val="005817B3"/>
    <w:rsid w:val="0058298C"/>
    <w:rsid w:val="00584D9C"/>
    <w:rsid w:val="00587BEB"/>
    <w:rsid w:val="005939D5"/>
    <w:rsid w:val="00594568"/>
    <w:rsid w:val="00595925"/>
    <w:rsid w:val="00595A20"/>
    <w:rsid w:val="005965DE"/>
    <w:rsid w:val="0059786F"/>
    <w:rsid w:val="005A0CEA"/>
    <w:rsid w:val="005E0C74"/>
    <w:rsid w:val="005E30B0"/>
    <w:rsid w:val="005E7800"/>
    <w:rsid w:val="005F2EE0"/>
    <w:rsid w:val="00600055"/>
    <w:rsid w:val="00600084"/>
    <w:rsid w:val="00604C0E"/>
    <w:rsid w:val="006078CE"/>
    <w:rsid w:val="006103B0"/>
    <w:rsid w:val="00615FAA"/>
    <w:rsid w:val="00630389"/>
    <w:rsid w:val="0063242E"/>
    <w:rsid w:val="00642BFC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E3EFD"/>
    <w:rsid w:val="006E5F20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15999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1E6"/>
    <w:rsid w:val="00790ED2"/>
    <w:rsid w:val="0079561B"/>
    <w:rsid w:val="007957E7"/>
    <w:rsid w:val="00797BD6"/>
    <w:rsid w:val="007B2594"/>
    <w:rsid w:val="007B411A"/>
    <w:rsid w:val="007B6C17"/>
    <w:rsid w:val="007C0ABD"/>
    <w:rsid w:val="007C23C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009A0"/>
    <w:rsid w:val="00811A67"/>
    <w:rsid w:val="00822FB1"/>
    <w:rsid w:val="00832632"/>
    <w:rsid w:val="00841264"/>
    <w:rsid w:val="0084464D"/>
    <w:rsid w:val="00855DBC"/>
    <w:rsid w:val="00855EA3"/>
    <w:rsid w:val="00856308"/>
    <w:rsid w:val="008563B4"/>
    <w:rsid w:val="00856F62"/>
    <w:rsid w:val="0085717A"/>
    <w:rsid w:val="008602B7"/>
    <w:rsid w:val="0086690F"/>
    <w:rsid w:val="00876A28"/>
    <w:rsid w:val="008808F2"/>
    <w:rsid w:val="00882DC7"/>
    <w:rsid w:val="008835A6"/>
    <w:rsid w:val="008A03DE"/>
    <w:rsid w:val="008A1C18"/>
    <w:rsid w:val="008A34D7"/>
    <w:rsid w:val="008A4260"/>
    <w:rsid w:val="008A5836"/>
    <w:rsid w:val="008B113A"/>
    <w:rsid w:val="008B255D"/>
    <w:rsid w:val="008B2A1F"/>
    <w:rsid w:val="008B445F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1C8B"/>
    <w:rsid w:val="00913690"/>
    <w:rsid w:val="00916408"/>
    <w:rsid w:val="0092004D"/>
    <w:rsid w:val="00921367"/>
    <w:rsid w:val="00926243"/>
    <w:rsid w:val="00935A1B"/>
    <w:rsid w:val="00935B7C"/>
    <w:rsid w:val="009373D0"/>
    <w:rsid w:val="009415E1"/>
    <w:rsid w:val="009415FF"/>
    <w:rsid w:val="00941F62"/>
    <w:rsid w:val="00950784"/>
    <w:rsid w:val="009534B5"/>
    <w:rsid w:val="00954FFA"/>
    <w:rsid w:val="0095550E"/>
    <w:rsid w:val="00955D69"/>
    <w:rsid w:val="00956AB0"/>
    <w:rsid w:val="009571D5"/>
    <w:rsid w:val="00957A89"/>
    <w:rsid w:val="00962100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14D0"/>
    <w:rsid w:val="00A0203E"/>
    <w:rsid w:val="00A06EA6"/>
    <w:rsid w:val="00A12E52"/>
    <w:rsid w:val="00A227F1"/>
    <w:rsid w:val="00A26348"/>
    <w:rsid w:val="00A27485"/>
    <w:rsid w:val="00A44836"/>
    <w:rsid w:val="00A459F4"/>
    <w:rsid w:val="00A46229"/>
    <w:rsid w:val="00A53BD4"/>
    <w:rsid w:val="00A550A6"/>
    <w:rsid w:val="00A56559"/>
    <w:rsid w:val="00A56C58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B2877"/>
    <w:rsid w:val="00AB327C"/>
    <w:rsid w:val="00AC146E"/>
    <w:rsid w:val="00AC1D0B"/>
    <w:rsid w:val="00AC26D9"/>
    <w:rsid w:val="00AC3981"/>
    <w:rsid w:val="00AC4BB6"/>
    <w:rsid w:val="00AC5F93"/>
    <w:rsid w:val="00AD2F36"/>
    <w:rsid w:val="00AD5117"/>
    <w:rsid w:val="00AD7F3D"/>
    <w:rsid w:val="00AE1602"/>
    <w:rsid w:val="00AE2629"/>
    <w:rsid w:val="00AE4551"/>
    <w:rsid w:val="00AE6769"/>
    <w:rsid w:val="00AF176E"/>
    <w:rsid w:val="00AF42BA"/>
    <w:rsid w:val="00B02B88"/>
    <w:rsid w:val="00B04483"/>
    <w:rsid w:val="00B06782"/>
    <w:rsid w:val="00B11020"/>
    <w:rsid w:val="00B12668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1861"/>
    <w:rsid w:val="00B520B6"/>
    <w:rsid w:val="00B61D49"/>
    <w:rsid w:val="00B625F7"/>
    <w:rsid w:val="00B676F3"/>
    <w:rsid w:val="00B67BBF"/>
    <w:rsid w:val="00B705AA"/>
    <w:rsid w:val="00B76EDE"/>
    <w:rsid w:val="00B8146B"/>
    <w:rsid w:val="00B83A7D"/>
    <w:rsid w:val="00B93198"/>
    <w:rsid w:val="00B96343"/>
    <w:rsid w:val="00BA3476"/>
    <w:rsid w:val="00BA3726"/>
    <w:rsid w:val="00BA464D"/>
    <w:rsid w:val="00BA49ED"/>
    <w:rsid w:val="00BA6576"/>
    <w:rsid w:val="00BA7F27"/>
    <w:rsid w:val="00BA7F72"/>
    <w:rsid w:val="00BC6345"/>
    <w:rsid w:val="00BD071A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03A6"/>
    <w:rsid w:val="00C44011"/>
    <w:rsid w:val="00C45132"/>
    <w:rsid w:val="00C45883"/>
    <w:rsid w:val="00C47DA9"/>
    <w:rsid w:val="00C532F7"/>
    <w:rsid w:val="00C57A26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B11CF"/>
    <w:rsid w:val="00CB3AA3"/>
    <w:rsid w:val="00CB67FF"/>
    <w:rsid w:val="00CC77B5"/>
    <w:rsid w:val="00CC7B26"/>
    <w:rsid w:val="00CD2EAA"/>
    <w:rsid w:val="00CD3EB3"/>
    <w:rsid w:val="00CD4E1B"/>
    <w:rsid w:val="00CD5EA6"/>
    <w:rsid w:val="00CD6C40"/>
    <w:rsid w:val="00CE3164"/>
    <w:rsid w:val="00CE7A8B"/>
    <w:rsid w:val="00CF1FF7"/>
    <w:rsid w:val="00CF2E8B"/>
    <w:rsid w:val="00CF3155"/>
    <w:rsid w:val="00CF3328"/>
    <w:rsid w:val="00D0188D"/>
    <w:rsid w:val="00D05145"/>
    <w:rsid w:val="00D05424"/>
    <w:rsid w:val="00D10AB4"/>
    <w:rsid w:val="00D140C2"/>
    <w:rsid w:val="00D272F8"/>
    <w:rsid w:val="00D27736"/>
    <w:rsid w:val="00D319C2"/>
    <w:rsid w:val="00D31E96"/>
    <w:rsid w:val="00D32016"/>
    <w:rsid w:val="00D35F10"/>
    <w:rsid w:val="00D4007E"/>
    <w:rsid w:val="00D428F6"/>
    <w:rsid w:val="00D45092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65B2E"/>
    <w:rsid w:val="00D71760"/>
    <w:rsid w:val="00D74A9B"/>
    <w:rsid w:val="00D752C6"/>
    <w:rsid w:val="00D7689F"/>
    <w:rsid w:val="00D904E4"/>
    <w:rsid w:val="00D9418E"/>
    <w:rsid w:val="00DA017D"/>
    <w:rsid w:val="00DA2E21"/>
    <w:rsid w:val="00DC2300"/>
    <w:rsid w:val="00DD47BD"/>
    <w:rsid w:val="00DD4C17"/>
    <w:rsid w:val="00DD5DEF"/>
    <w:rsid w:val="00DE01CE"/>
    <w:rsid w:val="00DE177A"/>
    <w:rsid w:val="00DE2C28"/>
    <w:rsid w:val="00DF7345"/>
    <w:rsid w:val="00DF7518"/>
    <w:rsid w:val="00E00EB9"/>
    <w:rsid w:val="00E012A2"/>
    <w:rsid w:val="00E0202C"/>
    <w:rsid w:val="00E0341F"/>
    <w:rsid w:val="00E04B7F"/>
    <w:rsid w:val="00E05614"/>
    <w:rsid w:val="00E10ACF"/>
    <w:rsid w:val="00E1191D"/>
    <w:rsid w:val="00E175F4"/>
    <w:rsid w:val="00E17985"/>
    <w:rsid w:val="00E17F80"/>
    <w:rsid w:val="00E22BC5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3CD2"/>
    <w:rsid w:val="00E6526F"/>
    <w:rsid w:val="00E66DF4"/>
    <w:rsid w:val="00E73584"/>
    <w:rsid w:val="00E754A8"/>
    <w:rsid w:val="00E7737C"/>
    <w:rsid w:val="00E777B6"/>
    <w:rsid w:val="00E822C8"/>
    <w:rsid w:val="00E90A0D"/>
    <w:rsid w:val="00E91CFB"/>
    <w:rsid w:val="00E93864"/>
    <w:rsid w:val="00E9664A"/>
    <w:rsid w:val="00EA54A3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EF42D2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1DCD"/>
    <w:rsid w:val="00F268A5"/>
    <w:rsid w:val="00F30589"/>
    <w:rsid w:val="00F3635C"/>
    <w:rsid w:val="00F42B37"/>
    <w:rsid w:val="00F4682A"/>
    <w:rsid w:val="00F51764"/>
    <w:rsid w:val="00F63724"/>
    <w:rsid w:val="00F65B8C"/>
    <w:rsid w:val="00F65C19"/>
    <w:rsid w:val="00F67B6C"/>
    <w:rsid w:val="00F70EAF"/>
    <w:rsid w:val="00F71F91"/>
    <w:rsid w:val="00F7550C"/>
    <w:rsid w:val="00F817F5"/>
    <w:rsid w:val="00F823D0"/>
    <w:rsid w:val="00F84C5A"/>
    <w:rsid w:val="00F86B8C"/>
    <w:rsid w:val="00F876D2"/>
    <w:rsid w:val="00F9012E"/>
    <w:rsid w:val="00F910A6"/>
    <w:rsid w:val="00F9196D"/>
    <w:rsid w:val="00F93F2C"/>
    <w:rsid w:val="00FA601C"/>
    <w:rsid w:val="00FB68FF"/>
    <w:rsid w:val="00FC5132"/>
    <w:rsid w:val="00FD0847"/>
    <w:rsid w:val="00FD1961"/>
    <w:rsid w:val="00FD4D68"/>
    <w:rsid w:val="00FE16DA"/>
    <w:rsid w:val="00FE271E"/>
    <w:rsid w:val="00FE5700"/>
    <w:rsid w:val="00FE6F55"/>
    <w:rsid w:val="00FE70CA"/>
    <w:rsid w:val="00FF2030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39D0"/>
  <w15:chartTrackingRefBased/>
  <w15:docId w15:val="{D3CF1584-49E7-4651-B112-0326FD03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41CCB-4CF1-4927-B1E1-FE0E66BF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</cp:lastModifiedBy>
  <cp:revision>2</cp:revision>
  <cp:lastPrinted>2019-11-27T11:20:00Z</cp:lastPrinted>
  <dcterms:created xsi:type="dcterms:W3CDTF">2019-11-27T11:58:00Z</dcterms:created>
  <dcterms:modified xsi:type="dcterms:W3CDTF">2019-11-27T11:58:00Z</dcterms:modified>
</cp:coreProperties>
</file>