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Layout w:type="fixed"/>
        <w:tblLook w:val="00A0"/>
      </w:tblPr>
      <w:tblGrid>
        <w:gridCol w:w="568"/>
        <w:gridCol w:w="15"/>
        <w:gridCol w:w="3245"/>
        <w:gridCol w:w="62"/>
        <w:gridCol w:w="186"/>
        <w:gridCol w:w="36"/>
        <w:gridCol w:w="850"/>
        <w:gridCol w:w="284"/>
        <w:gridCol w:w="850"/>
        <w:gridCol w:w="284"/>
        <w:gridCol w:w="141"/>
        <w:gridCol w:w="385"/>
        <w:gridCol w:w="608"/>
        <w:gridCol w:w="201"/>
        <w:gridCol w:w="2350"/>
      </w:tblGrid>
      <w:tr w:rsidR="00B03E45" w:rsidTr="00D27FA6">
        <w:trPr>
          <w:gridAfter w:val="3"/>
          <w:wAfter w:w="3159" w:type="dxa"/>
        </w:trPr>
        <w:tc>
          <w:tcPr>
            <w:tcW w:w="6906" w:type="dxa"/>
            <w:gridSpan w:val="12"/>
          </w:tcPr>
          <w:p w:rsidR="00B03E45" w:rsidRDefault="00B03E45" w:rsidP="00D27FA6">
            <w:pPr>
              <w:tabs>
                <w:tab w:val="left" w:pos="1735"/>
                <w:tab w:val="left" w:pos="2019"/>
              </w:tabs>
              <w:spacing w:after="0" w:line="218" w:lineRule="auto"/>
              <w:ind w:firstLine="10171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B03E45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05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2.Виконання результативних показників Програми.</w:t>
            </w:r>
          </w:p>
          <w:p w:rsidR="00B03E45" w:rsidRPr="00D405B5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Default="00B03E45" w:rsidP="00D27FA6">
            <w:pPr>
              <w:tabs>
                <w:tab w:val="left" w:pos="1735"/>
                <w:tab w:val="left" w:pos="2019"/>
              </w:tabs>
              <w:spacing w:after="0" w:line="218" w:lineRule="auto"/>
              <w:ind w:firstLine="10171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B03E45" w:rsidRPr="004553BE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shd w:val="clear" w:color="auto" w:fill="C6D9F1"/>
          </w:tcPr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№</w:t>
            </w:r>
          </w:p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260" w:type="dxa"/>
            <w:gridSpan w:val="2"/>
            <w:shd w:val="clear" w:color="auto" w:fill="C6D9F1"/>
          </w:tcPr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Найменування</w:t>
            </w:r>
          </w:p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показника</w:t>
            </w:r>
          </w:p>
        </w:tc>
        <w:tc>
          <w:tcPr>
            <w:tcW w:w="1134" w:type="dxa"/>
            <w:gridSpan w:val="4"/>
            <w:shd w:val="clear" w:color="auto" w:fill="C6D9F1"/>
          </w:tcPr>
          <w:p w:rsidR="00B03E45" w:rsidRPr="002D7340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2D73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Планове</w:t>
            </w:r>
          </w:p>
          <w:p w:rsidR="00B03E45" w:rsidRPr="002D7340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2D73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значення</w:t>
            </w:r>
          </w:p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73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показника</w:t>
            </w:r>
          </w:p>
        </w:tc>
        <w:tc>
          <w:tcPr>
            <w:tcW w:w="1134" w:type="dxa"/>
            <w:gridSpan w:val="2"/>
            <w:shd w:val="clear" w:color="auto" w:fill="C6D9F1"/>
          </w:tcPr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Фактичне</w:t>
            </w:r>
          </w:p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значення</w:t>
            </w:r>
          </w:p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показника</w:t>
            </w:r>
          </w:p>
        </w:tc>
        <w:tc>
          <w:tcPr>
            <w:tcW w:w="1418" w:type="dxa"/>
            <w:gridSpan w:val="4"/>
            <w:shd w:val="clear" w:color="auto" w:fill="C6D9F1"/>
          </w:tcPr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Причина</w:t>
            </w:r>
          </w:p>
          <w:p w:rsidR="00B03E45" w:rsidRPr="00D405B5" w:rsidRDefault="00B03E45" w:rsidP="00D27FA6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невиконан</w:t>
            </w: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ня</w:t>
            </w:r>
          </w:p>
        </w:tc>
        <w:tc>
          <w:tcPr>
            <w:tcW w:w="2551" w:type="dxa"/>
            <w:gridSpan w:val="2"/>
            <w:shd w:val="clear" w:color="auto" w:fill="C6D9F1"/>
          </w:tcPr>
          <w:p w:rsidR="00B03E45" w:rsidRPr="00D405B5" w:rsidRDefault="00B03E45" w:rsidP="00D27FA6">
            <w:pPr>
              <w:pStyle w:val="a3"/>
              <w:tabs>
                <w:tab w:val="left" w:pos="601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405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Що зроблено для виправлення ситуації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682"/>
        </w:trPr>
        <w:tc>
          <w:tcPr>
            <w:tcW w:w="568" w:type="dxa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3260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витрат на реалізацію заходів  Програми</w:t>
            </w:r>
          </w:p>
        </w:tc>
        <w:tc>
          <w:tcPr>
            <w:tcW w:w="1134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462183,6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367621,5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79,54%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gridAfter w:val="1"/>
          <w:wAfter w:w="2350" w:type="dxa"/>
          <w:trHeight w:val="274"/>
        </w:trPr>
        <w:tc>
          <w:tcPr>
            <w:tcW w:w="7715" w:type="dxa"/>
            <w:gridSpan w:val="14"/>
            <w:tcBorders>
              <w:right w:val="nil"/>
            </w:tcBorders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  <w:proofErr w:type="spellStart"/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.Показники</w:t>
            </w:r>
            <w:proofErr w:type="spellEnd"/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продукту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1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які отримають фінансову підтримку  за рахунок державного та обласного бюджету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5239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4518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межах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гнувань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ведених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державного  бюджету на поточний рік</w:t>
            </w: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86,2%</w:t>
            </w:r>
          </w:p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аявки на потребу в коштах надаються Департаменту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захисту населення облдерж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 в повному обсязі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які отримають додаткову фінансову підтримку  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94,6%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які отримають компенсаційні виплати та допомоги відповідно діючого законодавства 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24621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21651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87,9% 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ькість осіб, які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фак-тично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звернулись за компенса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ційними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платами</w:t>
            </w:r>
            <w:proofErr w:type="spellEnd"/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які отримають додаткові компенсаційні виплати 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253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101,2%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які реалізують право на пільговий проїзд 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25800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23161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 осіб, які фактично зверну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лись за талоном на пільговий проїзд</w:t>
            </w: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89,8%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нформація щодо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лізації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права на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говий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проїзд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доводить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ся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окремих категорій громадян через засоби масової інформації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які отримають пільги, передбачені діючим законодавством, на житлово-комунальні послуги та послуги зв’язку за рахунок державного та обласного бюджетів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6376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3394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53,2%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зменшення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тинген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отриму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вачів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 у 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правом вибору (субсидія або пільги в опалювальний період)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які отримають додаткову знижку на житлово-комунальні послуги та послуги зв’язку 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967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956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98,9%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 із числа окремих категорій громадян, які 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отримають санаторно-курортне оздоровлення та реабілітаційні послуги за рахунок державного бюджету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надава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лись в 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межах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асиг-нувань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-редбаче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жавного бюджету</w:t>
            </w: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64,8%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аявки на потребу в коштах надаються 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Департаменту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захисту населення облдерж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 в повному обсязі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659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 технічних та інших засобів реабілітації, якими будуть забезпечені особи з інвалідністю та інші громадяни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1282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</w:t>
            </w:r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абезпечені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асигнувань,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жету на поточний рік</w:t>
            </w:r>
          </w:p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77,9%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аявки на потребу в коштах надаються Департаменту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ального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захисту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страції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повному обсязі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безоплатне поховання осіб з інвалідністю внаслідок війни та учасників бойових дій  за рахунок обласного  бюджету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106,7%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ветеранів війни, яким буде зроблено капітальний ремонт житла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66,7%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зв</w:t>
            </w:r>
            <w:proofErr w:type="spellEnd"/>
            <w:r w:rsidRPr="00016624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proofErr w:type="spellStart"/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язку</w:t>
            </w:r>
            <w:proofErr w:type="spellEnd"/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зі </w:t>
            </w:r>
            <w:proofErr w:type="spellStart"/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збільшен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ням</w:t>
            </w:r>
            <w:proofErr w:type="spellEnd"/>
            <w:r w:rsidRPr="000166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вартості виконання капітального ремонту на 1 житло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 дітей та громадян пільгових категорій, які будуть поздоровлені святковими  подарунками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737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119,8%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дітей, які будуть направлені  в дитячі заклади оздоровлення та відпочинку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412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412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дітей-сиріт, дітей позбавлених батьківського піклування  та осіб з їх числа, яким буде виплачена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сація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рахунок субвенції з державного бюджету за 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лежні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отримання житлові приміщення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659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307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будівель під реконструкцію для створення соціального центру у форматі «Прозорий офіс»</w:t>
            </w:r>
          </w:p>
        </w:tc>
        <w:tc>
          <w:tcPr>
            <w:tcW w:w="1072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gridAfter w:val="1"/>
          <w:wAfter w:w="2350" w:type="dxa"/>
          <w:trHeight w:val="310"/>
        </w:trPr>
        <w:tc>
          <w:tcPr>
            <w:tcW w:w="7715" w:type="dxa"/>
            <w:gridSpan w:val="14"/>
            <w:tcBorders>
              <w:right w:val="nil"/>
            </w:tcBorders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Показники ефективності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фінансової підтримки  за рахунок 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обласного бюджету,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1372,9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1309,03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95,3%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додаткової матеріальної допомоги  за рахунок бюджету Бахмутської  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міської ОТГ,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953,7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937,5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98,3%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компенсаційних виплат та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діючим законодавством, за рахунок державного та обласного бюджетів,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1188,2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1015,08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85,4%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 компенса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них виплат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встановлю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ється  діючим законодавством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компенсаційних виплат та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діючим законодавством, 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2396,8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2174,7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90,7%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 компенса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них виплат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встановлю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ється  діючим законодавством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 витрат  на пільговий проїзд окремих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горій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громадян,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987,5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937,2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94,9%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пільги,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ченої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діючим законодавством, на житлово-комунальні послуги та послуги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рахунок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жавного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обласного бюджетів, грн..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262,5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473,0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180,2%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982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додаткової знижки на оплату за житлово-комунальні послуги та послуги зв’язку,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397,3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401,9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101,2%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витрат на санаторно-курортне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оздоровлен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окремих категорій громадян та на надання реабілітаційних послуг особам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інвалідністю,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5,9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8902,1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401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виготовлення одиниці технічного та іншого  виробу реабілітації, грн.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3310,5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2083,7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62,9%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дня вартість виготовлення одини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 технічного та іншого  виробу реабілітації залежить від типу виробу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475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витрат на безоплатне поховання осіб з інвалідністю внаслідок війни та учасників бойових дій за рахунок обласного бюджету, грн.</w:t>
            </w:r>
          </w:p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3833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3593,8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93,8%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475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витрат на проведення капітального ремонту житла ветеранам війни,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42433,3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63650,0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30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витрата на поздоровлення дітей та громадян пільгових категорій, грн.</w:t>
            </w: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261,1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260,1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99,6%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126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3529" w:type="dxa"/>
            <w:gridSpan w:val="4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385,8</w:t>
            </w:r>
          </w:p>
        </w:tc>
        <w:tc>
          <w:tcPr>
            <w:tcW w:w="1134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385,8</w:t>
            </w:r>
          </w:p>
        </w:tc>
        <w:tc>
          <w:tcPr>
            <w:tcW w:w="1134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gridAfter w:val="1"/>
          <w:wAfter w:w="2350" w:type="dxa"/>
          <w:trHeight w:val="273"/>
        </w:trPr>
        <w:tc>
          <w:tcPr>
            <w:tcW w:w="7715" w:type="dxa"/>
            <w:gridSpan w:val="14"/>
            <w:tcBorders>
              <w:top w:val="nil"/>
              <w:left w:val="nil"/>
              <w:right w:val="nil"/>
            </w:tcBorders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Показники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якост</w:t>
            </w:r>
            <w:proofErr w:type="spellEnd"/>
            <w:r w:rsidRPr="00016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25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забезпечення  фінансової  підтримки  окремих категорій громадян  за рахунок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обласного бюджету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101,7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86,2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фінансова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підтримки  окремих категорій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мадян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надається в межах асигнувань, доведених з 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держав-ного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 на поточний рік</w:t>
            </w: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7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забезпечення додаткової  фінансової  підтримки  окремих категорій громадян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117,2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94,5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додаткова фінансова  підтримка  окремих категорій громадян надається за рішенням комісії ( від 500,0 грн. до 2000,0 грн.)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7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 забезпечення  додаткових  пільг на житлово-комунальні послуги окремим категоріям громадян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98,9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7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стану здоров я окремих категорій громадян шляхом санаторно-курортного оздоровлення та реабілітації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130,6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64,8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ослуги надавались в межах асигнувань, передбачених з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 на поточний рік.</w:t>
            </w:r>
          </w:p>
          <w:p w:rsidR="00B03E45" w:rsidRPr="00016624" w:rsidRDefault="00B03E45" w:rsidP="00D27FA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Заявки на потребу в коштах надаються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таменту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захисту населення облдержадмі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ністрації в повному обсязі</w:t>
            </w: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7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стану здоров’я дітей в дитячих закладах оздоровлення та відпочинку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41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права на пільговий  проїзд  окремих категорій громадян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89,8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еалізація права на пільговий  проїзд  окремих категорій громадян надається перевізниками на підставі талонів, які видаються  </w:t>
            </w:r>
            <w:proofErr w:type="spellStart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ням</w:t>
            </w:r>
            <w:proofErr w:type="spellEnd"/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 особистим зверненням пільговика</w:t>
            </w: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88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493" w:type="dxa"/>
            <w:gridSpan w:val="3"/>
          </w:tcPr>
          <w:p w:rsidR="00B03E45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святкових заходів, вшанування ветеранів, поздоровлення дітей пільгових категорій</w:t>
            </w:r>
          </w:p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3E45" w:rsidRPr="00016624" w:rsidTr="00D27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/>
        </w:tblPrEx>
        <w:trPr>
          <w:trHeight w:val="525"/>
        </w:trPr>
        <w:tc>
          <w:tcPr>
            <w:tcW w:w="58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493" w:type="dxa"/>
            <w:gridSpan w:val="3"/>
          </w:tcPr>
          <w:p w:rsidR="00B03E45" w:rsidRPr="00016624" w:rsidRDefault="00B03E45" w:rsidP="00D27FA6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Сприяння у забезпеченні житлом дітей-сиріт, дітей, позбавлених батьківського піклування та осіб  з їх числа</w:t>
            </w:r>
          </w:p>
        </w:tc>
        <w:tc>
          <w:tcPr>
            <w:tcW w:w="1170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5" w:type="dxa"/>
            <w:gridSpan w:val="3"/>
          </w:tcPr>
          <w:p w:rsidR="00B03E45" w:rsidRPr="00016624" w:rsidRDefault="00B03E45" w:rsidP="00D27F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6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3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gridSpan w:val="2"/>
          </w:tcPr>
          <w:p w:rsidR="00B03E45" w:rsidRPr="00016624" w:rsidRDefault="00B03E45" w:rsidP="00D27FA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03E45" w:rsidRPr="00016624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B03E45" w:rsidRPr="00376644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</w:pPr>
      <w:r w:rsidRPr="00376644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>3.Оцінка ефективності виконання Програми та пропозиції щодо подальшої реалізації Програми.</w:t>
      </w:r>
    </w:p>
    <w:p w:rsidR="00B03E45" w:rsidRPr="00727AD1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Фактично</w:t>
      </w:r>
      <w:r w:rsidRPr="00700453">
        <w:rPr>
          <w:rFonts w:ascii="Times New Roman" w:hAnsi="Times New Roman"/>
          <w:sz w:val="28"/>
          <w:szCs w:val="28"/>
          <w:lang w:val="uk-UA"/>
        </w:rPr>
        <w:t xml:space="preserve"> на виконання заходів Програми, що потребують фінанс</w:t>
      </w:r>
      <w:r>
        <w:rPr>
          <w:rFonts w:ascii="Times New Roman" w:hAnsi="Times New Roman"/>
          <w:sz w:val="28"/>
          <w:szCs w:val="28"/>
          <w:lang w:val="uk-UA"/>
        </w:rPr>
        <w:t>ування, у 2019 році використано 367621,5 тис. грн., що складає 79,54</w:t>
      </w:r>
      <w:r w:rsidRPr="00700453">
        <w:rPr>
          <w:rFonts w:ascii="Times New Roman" w:hAnsi="Times New Roman"/>
          <w:sz w:val="28"/>
          <w:szCs w:val="28"/>
          <w:lang w:val="uk-UA"/>
        </w:rPr>
        <w:t xml:space="preserve"> % від запланованого, у тому числі:</w:t>
      </w:r>
    </w:p>
    <w:p w:rsidR="00B03E45" w:rsidRPr="00032D20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032D20">
        <w:rPr>
          <w:rFonts w:ascii="Times New Roman" w:hAnsi="Times New Roman"/>
          <w:sz w:val="28"/>
          <w:szCs w:val="28"/>
          <w:lang w:val="uk-UA"/>
        </w:rPr>
        <w:t xml:space="preserve">державний бюджет - 299278,75 </w:t>
      </w:r>
      <w:proofErr w:type="spellStart"/>
      <w:r w:rsidRPr="00032D2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32D20">
        <w:rPr>
          <w:rFonts w:ascii="Times New Roman" w:hAnsi="Times New Roman"/>
          <w:sz w:val="28"/>
          <w:szCs w:val="28"/>
          <w:lang w:val="uk-UA"/>
        </w:rPr>
        <w:t>. – 76,7 % від запланованого;</w:t>
      </w:r>
    </w:p>
    <w:p w:rsidR="00B03E45" w:rsidRPr="00032D20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032D20">
        <w:rPr>
          <w:rFonts w:ascii="Times New Roman" w:hAnsi="Times New Roman"/>
          <w:sz w:val="28"/>
          <w:szCs w:val="28"/>
          <w:lang w:val="uk-UA"/>
        </w:rPr>
        <w:t xml:space="preserve">обласний бюджет – 34993,0 </w:t>
      </w:r>
      <w:proofErr w:type="spellStart"/>
      <w:r w:rsidRPr="00032D2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32D20">
        <w:rPr>
          <w:rFonts w:ascii="Times New Roman" w:hAnsi="Times New Roman"/>
          <w:sz w:val="28"/>
          <w:szCs w:val="28"/>
          <w:lang w:val="uk-UA"/>
        </w:rPr>
        <w:t>. -99,6 % від запланованого;</w:t>
      </w:r>
    </w:p>
    <w:p w:rsidR="00B03E45" w:rsidRPr="00032D20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032D20">
        <w:rPr>
          <w:rFonts w:ascii="Times New Roman" w:hAnsi="Times New Roman"/>
          <w:sz w:val="28"/>
          <w:szCs w:val="28"/>
          <w:lang w:val="uk-UA"/>
        </w:rPr>
        <w:t xml:space="preserve">місцевий бюджет   - 33308,8 </w:t>
      </w:r>
      <w:proofErr w:type="spellStart"/>
      <w:r w:rsidRPr="00032D2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32D20">
        <w:rPr>
          <w:rFonts w:ascii="Times New Roman" w:hAnsi="Times New Roman"/>
          <w:sz w:val="28"/>
          <w:szCs w:val="28"/>
          <w:lang w:val="uk-UA"/>
        </w:rPr>
        <w:t>. – 89,5% від запланованого;</w:t>
      </w:r>
    </w:p>
    <w:p w:rsidR="00B03E45" w:rsidRPr="00032D20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032D20">
        <w:rPr>
          <w:rFonts w:ascii="Times New Roman" w:hAnsi="Times New Roman"/>
          <w:sz w:val="28"/>
          <w:szCs w:val="28"/>
          <w:lang w:val="uk-UA"/>
        </w:rPr>
        <w:t xml:space="preserve">інші кошти              -41,0 </w:t>
      </w:r>
      <w:proofErr w:type="spellStart"/>
      <w:r w:rsidRPr="00032D2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32D20">
        <w:rPr>
          <w:rFonts w:ascii="Times New Roman" w:hAnsi="Times New Roman"/>
          <w:sz w:val="28"/>
          <w:szCs w:val="28"/>
          <w:lang w:val="uk-UA"/>
        </w:rPr>
        <w:t>. -96,5 % від запланованого.</w:t>
      </w:r>
    </w:p>
    <w:p w:rsidR="00B03E45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       Часткове виконання заходів обумовлено  наступними причинами: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>- недостатнє фінансування з державного бюджету;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- скорочення контингенту </w:t>
      </w:r>
      <w:proofErr w:type="spellStart"/>
      <w:r w:rsidRPr="00700453">
        <w:rPr>
          <w:rFonts w:ascii="Times New Roman" w:hAnsi="Times New Roman"/>
          <w:sz w:val="28"/>
          <w:szCs w:val="28"/>
          <w:lang w:val="uk-UA"/>
        </w:rPr>
        <w:t>отримувачів</w:t>
      </w:r>
      <w:proofErr w:type="spellEnd"/>
      <w:r w:rsidRPr="00700453">
        <w:rPr>
          <w:rFonts w:ascii="Times New Roman" w:hAnsi="Times New Roman"/>
          <w:sz w:val="28"/>
          <w:szCs w:val="28"/>
          <w:lang w:val="uk-UA"/>
        </w:rPr>
        <w:t xml:space="preserve">  у </w:t>
      </w:r>
      <w:proofErr w:type="spellStart"/>
      <w:r w:rsidRPr="00700453"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Pr="00700453">
        <w:rPr>
          <w:rFonts w:ascii="Times New Roman" w:hAnsi="Times New Roman"/>
          <w:sz w:val="28"/>
          <w:szCs w:val="28"/>
        </w:rPr>
        <w:t>’</w:t>
      </w:r>
      <w:proofErr w:type="spellStart"/>
      <w:r w:rsidRPr="00700453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Pr="00700453">
        <w:rPr>
          <w:rFonts w:ascii="Times New Roman" w:hAnsi="Times New Roman"/>
          <w:sz w:val="28"/>
          <w:szCs w:val="28"/>
          <w:lang w:val="uk-UA"/>
        </w:rPr>
        <w:t xml:space="preserve"> зі смертю, вибуттям в інші міста області та регіони України;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- наявність права вибору </w:t>
      </w:r>
      <w:proofErr w:type="spellStart"/>
      <w:r w:rsidRPr="00700453">
        <w:rPr>
          <w:rFonts w:ascii="Times New Roman" w:hAnsi="Times New Roman"/>
          <w:sz w:val="28"/>
          <w:szCs w:val="28"/>
          <w:lang w:val="uk-UA"/>
        </w:rPr>
        <w:t>отримувачів</w:t>
      </w:r>
      <w:proofErr w:type="spellEnd"/>
      <w:r w:rsidRPr="00700453">
        <w:rPr>
          <w:rFonts w:ascii="Times New Roman" w:hAnsi="Times New Roman"/>
          <w:sz w:val="28"/>
          <w:szCs w:val="28"/>
          <w:lang w:val="uk-UA"/>
        </w:rPr>
        <w:t xml:space="preserve"> пільг та субсидій ( пільга або субсидія 1 раз на півроку);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>- оплата за фактично спожиті житлово-комунальні послуги.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      Всі заходи програми, які не потребують фінансування виконані в повному обсязі.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      Практичне виконання заходів, визначених Програмою, шляхом надання додаткових пільг та </w:t>
      </w:r>
      <w:proofErr w:type="spellStart"/>
      <w:r w:rsidRPr="00700453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700453">
        <w:rPr>
          <w:rFonts w:ascii="Times New Roman" w:hAnsi="Times New Roman"/>
          <w:sz w:val="28"/>
          <w:szCs w:val="28"/>
          <w:lang w:val="uk-UA"/>
        </w:rPr>
        <w:t xml:space="preserve"> дає можливість значно посилити соціальний захист окремих категорій громадян, ефективно спрямовувати відповідні грошові кошти на підтримку  найбільш незахищених  верств населення.</w:t>
      </w: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        Всі завдання Програми розраховані на постійне та тривале виконання, тому робота з їх реалізації </w:t>
      </w:r>
      <w:r>
        <w:rPr>
          <w:rFonts w:ascii="Times New Roman" w:hAnsi="Times New Roman"/>
          <w:sz w:val="28"/>
          <w:szCs w:val="28"/>
          <w:lang w:val="uk-UA"/>
        </w:rPr>
        <w:t xml:space="preserve"> буде продовжуватись у 2020 році</w:t>
      </w:r>
      <w:r w:rsidRPr="00700453">
        <w:rPr>
          <w:rFonts w:ascii="Times New Roman" w:hAnsi="Times New Roman"/>
          <w:sz w:val="28"/>
          <w:szCs w:val="28"/>
          <w:lang w:val="uk-UA"/>
        </w:rPr>
        <w:t>.</w:t>
      </w:r>
    </w:p>
    <w:p w:rsidR="00B03E45" w:rsidRPr="00700453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00453">
        <w:rPr>
          <w:rFonts w:ascii="Times New Roman" w:hAnsi="Times New Roman"/>
          <w:sz w:val="28"/>
          <w:szCs w:val="28"/>
          <w:lang w:val="uk-UA"/>
        </w:rPr>
        <w:t xml:space="preserve">Пояснювальна записка  </w:t>
      </w:r>
      <w:r w:rsidRPr="00700453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0453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0453">
        <w:rPr>
          <w:rFonts w:ascii="Times New Roman" w:hAnsi="Times New Roman" w:cs="Times New Roman"/>
          <w:sz w:val="28"/>
          <w:szCs w:val="28"/>
          <w:lang w:val="uk-UA"/>
        </w:rPr>
        <w:t xml:space="preserve">за 2019 рік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00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045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соціальному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70045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700453">
        <w:rPr>
          <w:rFonts w:ascii="Times New Roman" w:hAnsi="Times New Roman" w:cs="Times New Roman"/>
          <w:sz w:val="28"/>
          <w:szCs w:val="28"/>
        </w:rPr>
        <w:t xml:space="preserve">  на 2019-202</w:t>
      </w:r>
      <w:r w:rsidRPr="0070045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00453">
        <w:rPr>
          <w:rFonts w:ascii="Times New Roman" w:hAnsi="Times New Roman" w:cs="Times New Roman"/>
          <w:sz w:val="28"/>
          <w:szCs w:val="28"/>
        </w:rPr>
        <w:t xml:space="preserve"> роки</w:t>
      </w:r>
      <w:r w:rsidRPr="00700453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додається.</w:t>
      </w:r>
    </w:p>
    <w:p w:rsidR="00B03E45" w:rsidRPr="00700453" w:rsidRDefault="00B03E45" w:rsidP="00B03E45">
      <w:pPr>
        <w:tabs>
          <w:tab w:val="num" w:pos="1002"/>
        </w:tabs>
        <w:spacing w:after="0" w:line="240" w:lineRule="atLeast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</w:p>
    <w:p w:rsidR="00B03E45" w:rsidRPr="00700453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03E45" w:rsidRPr="00376644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03E45" w:rsidRPr="00376644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664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Управління праці та соціального</w:t>
      </w:r>
    </w:p>
    <w:p w:rsidR="00B03E45" w:rsidRPr="00376644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664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 населення  Бахмутської міської ради                            І.В.</w:t>
      </w:r>
      <w:proofErr w:type="spellStart"/>
      <w:r w:rsidRPr="0037664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Сподіна</w:t>
      </w:r>
      <w:proofErr w:type="spellEnd"/>
    </w:p>
    <w:p w:rsidR="00B03E45" w:rsidRPr="00376644" w:rsidRDefault="00B03E45" w:rsidP="00B03E4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B03E45" w:rsidRPr="0044365E" w:rsidRDefault="00B03E45" w:rsidP="00B03E45">
      <w:pPr>
        <w:spacing w:after="0" w:line="240" w:lineRule="atLeast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sz w:val="26"/>
          <w:szCs w:val="26"/>
          <w:lang w:val="uk-UA"/>
        </w:rPr>
        <w:lastRenderedPageBreak/>
        <w:t xml:space="preserve">            </w:t>
      </w:r>
      <w:r w:rsidRPr="0044365E">
        <w:rPr>
          <w:rFonts w:ascii="Times New Roman" w:hAnsi="Times New Roman" w:cs="Times New Roman"/>
          <w:i/>
          <w:sz w:val="26"/>
          <w:szCs w:val="26"/>
          <w:lang w:val="uk-UA"/>
        </w:rPr>
        <w:t xml:space="preserve">Додаток   </w:t>
      </w:r>
    </w:p>
    <w:p w:rsidR="00B03E45" w:rsidRDefault="00B03E45" w:rsidP="00B03E45">
      <w:pPr>
        <w:spacing w:after="0" w:line="240" w:lineRule="atLeast"/>
        <w:jc w:val="right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3126B9">
        <w:rPr>
          <w:rFonts w:ascii="Times New Roman" w:hAnsi="Times New Roman" w:cs="Times New Roman"/>
          <w:i/>
          <w:sz w:val="26"/>
          <w:szCs w:val="26"/>
          <w:lang w:val="uk-UA"/>
        </w:rPr>
        <w:t xml:space="preserve">до звіту </w:t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>п</w:t>
      </w:r>
      <w:proofErr w:type="spellStart"/>
      <w:r w:rsidRPr="003126B9">
        <w:rPr>
          <w:rFonts w:ascii="Times New Roman" w:hAnsi="Times New Roman" w:cs="Times New Roman"/>
          <w:i/>
          <w:sz w:val="26"/>
          <w:szCs w:val="26"/>
        </w:rPr>
        <w:t>ро</w:t>
      </w:r>
      <w:proofErr w:type="spellEnd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3126B9">
        <w:rPr>
          <w:rFonts w:ascii="Times New Roman" w:hAnsi="Times New Roman" w:cs="Times New Roman"/>
          <w:i/>
          <w:sz w:val="26"/>
          <w:szCs w:val="26"/>
          <w:lang w:val="uk-UA"/>
        </w:rPr>
        <w:t>результати</w:t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proofErr w:type="spellStart"/>
      <w:r w:rsidRPr="003126B9">
        <w:rPr>
          <w:rFonts w:ascii="Times New Roman" w:hAnsi="Times New Roman" w:cs="Times New Roman"/>
          <w:i/>
          <w:sz w:val="26"/>
          <w:szCs w:val="26"/>
        </w:rPr>
        <w:t>виконання</w:t>
      </w:r>
      <w:proofErr w:type="spellEnd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3126B9">
        <w:rPr>
          <w:rFonts w:ascii="Times New Roman" w:hAnsi="Times New Roman" w:cs="Times New Roman"/>
          <w:i/>
          <w:sz w:val="26"/>
          <w:szCs w:val="26"/>
          <w:lang w:val="uk-UA"/>
        </w:rPr>
        <w:t xml:space="preserve">за 2019 </w:t>
      </w:r>
    </w:p>
    <w:p w:rsidR="00B03E45" w:rsidRDefault="00B03E45" w:rsidP="00B03E45">
      <w:pPr>
        <w:spacing w:after="0" w:line="240" w:lineRule="atLeast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                                                           </w:t>
      </w:r>
      <w:r w:rsidRPr="003126B9">
        <w:rPr>
          <w:rFonts w:ascii="Times New Roman" w:hAnsi="Times New Roman" w:cs="Times New Roman"/>
          <w:i/>
          <w:sz w:val="26"/>
          <w:szCs w:val="26"/>
          <w:lang w:val="uk-UA"/>
        </w:rPr>
        <w:t xml:space="preserve">рік </w:t>
      </w:r>
      <w:proofErr w:type="spellStart"/>
      <w:r w:rsidRPr="003126B9">
        <w:rPr>
          <w:rFonts w:ascii="Times New Roman" w:hAnsi="Times New Roman" w:cs="Times New Roman"/>
          <w:i/>
          <w:sz w:val="26"/>
          <w:szCs w:val="26"/>
        </w:rPr>
        <w:t>Комплексної</w:t>
      </w:r>
      <w:proofErr w:type="spellEnd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proofErr w:type="spellStart"/>
      <w:r w:rsidRPr="003126B9">
        <w:rPr>
          <w:rFonts w:ascii="Times New Roman" w:hAnsi="Times New Roman" w:cs="Times New Roman"/>
          <w:i/>
          <w:sz w:val="26"/>
          <w:szCs w:val="26"/>
        </w:rPr>
        <w:t>програми</w:t>
      </w:r>
      <w:proofErr w:type="spellEnd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 по соціальному  </w:t>
      </w:r>
    </w:p>
    <w:p w:rsidR="00B03E45" w:rsidRPr="003126B9" w:rsidRDefault="00B03E45" w:rsidP="00B03E45">
      <w:pPr>
        <w:spacing w:after="0" w:line="240" w:lineRule="atLeast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                                                   </w:t>
      </w:r>
      <w:proofErr w:type="spellStart"/>
      <w:r w:rsidRPr="003126B9">
        <w:rPr>
          <w:rFonts w:ascii="Times New Roman" w:hAnsi="Times New Roman" w:cs="Times New Roman"/>
          <w:i/>
          <w:sz w:val="26"/>
          <w:szCs w:val="26"/>
        </w:rPr>
        <w:t>захисту</w:t>
      </w:r>
      <w:proofErr w:type="spellEnd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 </w:t>
      </w:r>
      <w:proofErr w:type="spellStart"/>
      <w:r w:rsidRPr="003126B9">
        <w:rPr>
          <w:rFonts w:ascii="Times New Roman" w:hAnsi="Times New Roman" w:cs="Times New Roman"/>
          <w:i/>
          <w:sz w:val="26"/>
          <w:szCs w:val="26"/>
        </w:rPr>
        <w:t>окремих</w:t>
      </w:r>
      <w:proofErr w:type="spellEnd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категорій громадян</w:t>
      </w:r>
    </w:p>
    <w:p w:rsidR="00B03E45" w:rsidRPr="003126B9" w:rsidRDefault="00B03E45" w:rsidP="00B03E45">
      <w:pPr>
        <w:spacing w:after="0" w:line="240" w:lineRule="atLeast"/>
        <w:jc w:val="center"/>
        <w:rPr>
          <w:rFonts w:ascii="Times New Roman" w:hAnsi="Times New Roman" w:cs="Times New Roman"/>
          <w:bCs/>
          <w:i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                   </w:t>
      </w:r>
      <w:r w:rsidRPr="003126B9">
        <w:rPr>
          <w:rFonts w:ascii="Times New Roman" w:hAnsi="Times New Roman" w:cs="Times New Roman"/>
          <w:i/>
          <w:sz w:val="26"/>
          <w:szCs w:val="26"/>
        </w:rPr>
        <w:t>на 2019-202</w:t>
      </w:r>
      <w:r w:rsidRPr="003126B9">
        <w:rPr>
          <w:rFonts w:ascii="Times New Roman" w:hAnsi="Times New Roman" w:cs="Times New Roman"/>
          <w:i/>
          <w:sz w:val="26"/>
          <w:szCs w:val="26"/>
          <w:lang w:val="uk-UA"/>
        </w:rPr>
        <w:t>2</w:t>
      </w:r>
      <w:r w:rsidRPr="003126B9">
        <w:rPr>
          <w:rFonts w:ascii="Times New Roman" w:hAnsi="Times New Roman" w:cs="Times New Roman"/>
          <w:i/>
          <w:sz w:val="26"/>
          <w:szCs w:val="26"/>
        </w:rPr>
        <w:t xml:space="preserve"> роки</w:t>
      </w:r>
    </w:p>
    <w:p w:rsidR="00B03E45" w:rsidRPr="009A2094" w:rsidRDefault="00B03E45" w:rsidP="00B03E45">
      <w:pPr>
        <w:tabs>
          <w:tab w:val="num" w:pos="1002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03E45" w:rsidRPr="0023693E" w:rsidRDefault="00B03E45" w:rsidP="00B03E4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ро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/>
          <w:sz w:val="28"/>
          <w:szCs w:val="28"/>
          <w:lang w:val="uk-UA"/>
        </w:rPr>
        <w:t>результати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2019 рік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Комплексної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23693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соціальному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окремих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категорій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23693E">
        <w:rPr>
          <w:rFonts w:ascii="Times New Roman" w:hAnsi="Times New Roman" w:cs="Times New Roman"/>
          <w:b/>
          <w:sz w:val="28"/>
          <w:szCs w:val="28"/>
        </w:rPr>
        <w:t>громадян</w:t>
      </w:r>
      <w:proofErr w:type="spellEnd"/>
      <w:r w:rsidRPr="0023693E">
        <w:rPr>
          <w:rFonts w:ascii="Times New Roman" w:hAnsi="Times New Roman" w:cs="Times New Roman"/>
          <w:b/>
          <w:sz w:val="28"/>
          <w:szCs w:val="28"/>
        </w:rPr>
        <w:t xml:space="preserve">  на 2019-202</w:t>
      </w:r>
      <w:r w:rsidRPr="0023693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3693E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B03E45" w:rsidRPr="0023693E" w:rsidRDefault="00B03E45" w:rsidP="00B03E45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Рішенням Бахмутської  міської ради від 28.11.2018 № 6/123-2363 була затверджена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>Комплексна програма по соціальному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>окремих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>категорій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>громадян  на 2019-2022 роки із внесеними до неї змінами  (далі  –  Програма ).</w:t>
      </w:r>
    </w:p>
    <w:p w:rsidR="00B03E45" w:rsidRPr="0023693E" w:rsidRDefault="00B03E45" w:rsidP="00B03E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3693E">
        <w:rPr>
          <w:rFonts w:ascii="Times New Roman" w:hAnsi="Times New Roman"/>
          <w:sz w:val="28"/>
          <w:szCs w:val="28"/>
          <w:lang w:val="uk-UA"/>
        </w:rPr>
        <w:t>Основною метою Програми є  забезпечення додаткових   гарантій щодо соціального захисту окремих категорій громадян, у тому числі внутрішньо переміщених осіб, учасників антитерористичної операції (операції об’єднаних сил) та членів сімей загиблих учасників антитерористичної операції.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 складається з  6  розділів: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загальні заходи ;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фінансова підтримка окремих категорій громадян;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додаткові заходи щодо соціального захисту окремих категорій громадян;</w:t>
      </w:r>
    </w:p>
    <w:p w:rsidR="00B03E45" w:rsidRPr="0023693E" w:rsidRDefault="00B03E45" w:rsidP="00B03E45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sz w:val="28"/>
          <w:szCs w:val="28"/>
          <w:lang w:val="uk-UA"/>
        </w:rPr>
        <w:t>- додаткові заходи щодо соціального захисту учасників Революції Гідності, учасників антитерористичної операції (операції об’єднаних сил)та членів сімей загиблих учасників антитерористичної операції (операції об’єднаних сил);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створення умов для відпочинку та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досугу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; 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організація оздоровлення  та відпочинку дітей (новий розділ, який внесено до Програми , у </w:t>
      </w:r>
      <w:proofErr w:type="spellStart"/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</w:t>
      </w:r>
      <w:proofErr w:type="spellEnd"/>
      <w:r w:rsidRPr="0023693E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</w:t>
      </w:r>
      <w:proofErr w:type="spellEnd"/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передачею повноважень Управлінню праці та соціального захисту населення  в листопаді місяці поточного року)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Розділ </w:t>
      </w:r>
      <w:r w:rsidRPr="0023693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</w:t>
      </w:r>
      <w:r w:rsidRPr="0023693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 Загальні заходи.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2019 році на виконання  загальних  заходів програми з метою створення умов поінформованості населення з питань соціального захисту, пільг та </w:t>
      </w:r>
      <w:proofErr w:type="spellStart"/>
      <w:r w:rsidRPr="0023693E">
        <w:rPr>
          <w:rFonts w:ascii="Times New Roman" w:hAnsi="Times New Roman"/>
          <w:bCs/>
          <w:color w:val="000000"/>
          <w:sz w:val="28"/>
          <w:szCs w:val="28"/>
          <w:lang w:val="uk-UA"/>
        </w:rPr>
        <w:t>допомог</w:t>
      </w:r>
      <w:proofErr w:type="spellEnd"/>
      <w:r w:rsidRPr="0023693E">
        <w:rPr>
          <w:rFonts w:ascii="Times New Roman" w:hAnsi="Times New Roman"/>
          <w:bCs/>
          <w:color w:val="000000"/>
          <w:sz w:val="28"/>
          <w:szCs w:val="28"/>
          <w:lang w:val="uk-UA"/>
        </w:rPr>
        <w:t>, передбачених діючим законодавством для окремих категорій громадян в Управлінні праці та соціального захисту населення Бахмутської міської ради в робочий час постійно працюють 2 телефони  «Гарячої лінії» для населення.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/>
          <w:bCs/>
          <w:color w:val="000000"/>
          <w:sz w:val="28"/>
          <w:szCs w:val="28"/>
          <w:lang w:val="uk-UA"/>
        </w:rPr>
        <w:t>Надана фінансова підтримка громадським об єднанням на утримання власних відокремлених підрозділів: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ветеранів війни, праці, збройних сил і органів правопорядку,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 міській спілці ветеранів Афганістану (воїнів-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інтернаціоналістів),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Бахмутському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 міському об’єднанню осіб з інвалідністю «Надія» шляхом відшкодування витрат на утримання приміщень, комунальні послуги та матеріальне заохочення. На ці цілі в поточному році з місцевого бюджету витрачено 109,5тис.грн.  Відшкодування проводилось у повному обсязі за фактично спожиті послуги за цінами, які діяли у 2019 році.</w:t>
      </w:r>
    </w:p>
    <w:p w:rsidR="00B03E45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       Проведено 246 виїздів мобільного офісу по комплексному наданню соціальної допомоги населенню, які мешкають у віддалених місцях. На виїзних прийомах прийнято 2168 осіб, яким надано 8672 консультації.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Для забезпечення роботи мобільного офісу з місцевого бюджету витрачено 150,0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        Протягом року проводилась реконструкція будівель для створення соціального центру у форматі «Прозорий офіс» за адресою: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вул.Перемоги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,53, мета створення якого – удосконалення соціального обслуговування населення, підвищення стандартів надання соціальних послуг. У 2019 році на реконструкцію використано: з державного бюджету 5000,0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., з обласного бюджету – 34000,0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., з місцевого бюджету 9100,0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. Всього на реконструкцію будівель у 2019 році використано 48100,0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Розділ 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proofErr w:type="spellStart"/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.Фінансова</w:t>
      </w:r>
      <w:proofErr w:type="spellEnd"/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підтримка окремих категорій громадян</w:t>
      </w:r>
    </w:p>
    <w:p w:rsidR="00B03E45" w:rsidRPr="002369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03E45" w:rsidRPr="0015033E" w:rsidRDefault="00B03E45" w:rsidP="00B03E45">
      <w:pPr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 поточному році фінансову підтримку  за рахунок державного та обласного бюджету  отримали 4518 осіб  на суму 5914,7 </w:t>
      </w:r>
      <w:proofErr w:type="spellStart"/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.;</w:t>
      </w:r>
    </w:p>
    <w:p w:rsidR="00B03E45" w:rsidRPr="001503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Як додаткова  фінансова підтримка, надана одноразова матеріальна допомога  з місцевого бюджету 997 особам на суму 969,7 </w:t>
      </w:r>
      <w:proofErr w:type="spellStart"/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Компенсаційні виплати та допомоги, передбачені чинним законодавством,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за рахунок державного, обласного та місцевого бюджетів протягом року щомісячно виплачувались 21904 особі. Витрати на компенсаційні  виплати з державного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обласного бюджетів склали 252026,5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тис. грн., з місцевого бюджету – 550,2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>Крім того, Управлінням, як головним розпорядником коштів, за рішенням комісії виконавчого комітету Бахмутської міської ради з питань формування пропозицій стосовно потреби щодо спрямування та освоєння субвенції з державного бюджету місцевим бюджетам на проектні, будівельно-ремонтні роботи, придбання житла та приміщень для розвитку сімейних, та забезпечення житлом дітей-сиріт, дітей, позбавлених батьківського піклування, осіб з їх числа в листопаді-грудні місяці виплачена грошова компенсація за належні для отримання житлові приміщення 30 дітям-сиротам, дітям позбавленим батьківського піклування та особам з їх числа на за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гальну суму  11699,3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 (</w:t>
      </w:r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розмірі 385,8 </w:t>
      </w:r>
      <w:proofErr w:type="spellStart"/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>. на 1 особу, 510,3тис.грн.на 1 особу з інвалідністю).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Скористались своїм правом </w:t>
      </w:r>
      <w:r w:rsidRPr="001503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 пільговий проїзд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(на залізничному транспорті, на авто та електротранспорті) згідно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чинного законодавства 23161 осо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на суму 21707,5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 Компенсація витрат проводилась з місцевого бюджету.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         Пільги, передбачені діючим законодавством України, на житлово-комунальні послуги та послуги зв’язку надавались 4350 особам із числа  громадян пільгових категорій на загальну суму 19648,5 тис. грн., у тому числі 956 осіб – за рахунок місцевого бюджету на суму 384,2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.. З місцевого бюджету додаткову 50% знижку за житлово-комунальні послуги отримують 5 членів сімей загиблих воїнів в Афганістані, 2 сім’ї осіб, які загинули у результаті  обстрілу у 2015 році, 2 сім’ї загиблих учасників АТО/ООС та 100% знижку – 2 Почесних громадянина міста.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Розділ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Додаткові заходи щодо соціального захисту окремих категорій громадян.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Розділ 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proofErr w:type="spellStart"/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.Додаткові</w:t>
      </w:r>
      <w:proofErr w:type="spellEnd"/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заходи щодо соціального захисту учасників Революції Гідності, учасників антитерористичної операції (операції об’єднаних сил) та членів сімей загиблих учасників антитерористичної операції (операції об’єднаних сил).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Окрім фінансової підтримки та компенсаційних виплат та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допомог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 рамках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протягом року здійснювались інші додаткові заходи щодо соціального захисту окремих категорій громадян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>, учасників антитерористичної операції (операції об’єднаних сил)та членів сімей загиблих учасників антитерористичної операції (операції об’єднаних сил).</w:t>
      </w:r>
    </w:p>
    <w:p w:rsidR="00B03E45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Так, у 2019 році за рахунок державного бюджету  через Управління праці та соціального захисту населення Бахмутської міської ради  отримали санаторно-курортне оздоровлення, послуги комплексної реабілітації та адаптації 94 особи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(у тому числі 37 учасників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АТО/ООС) на загальну суму 838,5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1 дитина загиблого учасника АТО отримала протягом року безкоштовне харчування в закладі освіти за рахунок місцевого бюджету на суму 2,7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Крім того, 1 учаснику АТО/ООС - особі з інвалідністю внаслідок війни за рахунок державного бюджету виплачена грошова допомога відповідно до Порядку призначення та виплати грошової допомоги в разі загибелі(смерті) або інвалідності деяких категорій осіб відповідно до Закону України «Про статус ветеранів війни, гарантіях  їх соціального захисту», затвердженого постановою Кабінету Міністрів України від 29.04.2016 № 336 у розмірі 528,6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Комісією виконавчого комітету Бахмутської міської ради по розгляду заяв деяких категорій осіб,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за належні для отримання житлові приміщення призначена відповідна грошова компенсація  10 учасникам АТО/ООС із числа внутрішньо переміщених осіб. Кошти на виплату грошової компенсації в поточному році з державного бюджету не надходили.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Забезпечено безоплатне поховання 32 чоловік із числа осіб з інвалідністю внаслідок війни та учасників бойових дій на суму 115,0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за рахунок обласного бюджету.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250 осіб з інвалідністю отримали 2182 одиниці технічних та інших засобів реабілітації. На цю мету з державного бюджету було виділено у поточному році 4884,8тис.грн.</w:t>
      </w:r>
    </w:p>
    <w:p w:rsidR="00B03E45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За рахунок місцевого бюджету  проведено капітальний ремонт 2 житлових приміщень осіб з інвалідністю внаслідок війни на суму 127,3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Залучено фінансових та інших ресурсів з інших джерел для надання соціальних послуг – 33,0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Надано 210 пільгових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автопослуг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особам  з інвалідністю за рахунок власних коштів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автоперевізником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Классное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такси» на суму 8,0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Розділ 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Створення умов для відпочинку та </w:t>
      </w:r>
      <w:proofErr w:type="spellStart"/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досугу</w:t>
      </w:r>
      <w:proofErr w:type="spellEnd"/>
      <w:r w:rsidRPr="002369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Організація та створення умов для відпочинку окремих категорій громадян проводиться в рамках Програми за рахунок місцевого бюджету.</w:t>
      </w:r>
    </w:p>
    <w:p w:rsidR="00B03E45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</w:t>
      </w:r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Поздоровлені святковими подарунками 737 осіб, у тому числі 410 осіб із числа окремих категорій громадян ( ювілярів-старожилів, ветеранів війни, осіб з інвалідністю)  та 327 дітей пільгових категорій до Міжнародного дня захисту дітей та Новорічних свят  на загальну суму 191,7 </w:t>
      </w:r>
      <w:proofErr w:type="spellStart"/>
      <w:r w:rsidRPr="002369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03E45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На організацію святкових заходів за напрямом Управління з місцевого бюджету витрачено 16,0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( транспортні витрати, квіткова продукція).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Pr="0023693E">
        <w:rPr>
          <w:rFonts w:ascii="Times New Roman" w:hAnsi="Times New Roman" w:cs="Times New Roman"/>
          <w:bCs/>
          <w:sz w:val="28"/>
          <w:szCs w:val="28"/>
          <w:lang w:val="uk-UA"/>
        </w:rPr>
        <w:t>У зв’язку з передачею у 2019 році повноважень організації оздоровлення та відпочинку дітей до Управління праці та соціального захисту населення Бахмутської міської ради в листопаді місяці поточного року до Програми включено новий додатковий розділ</w:t>
      </w:r>
      <w:r w:rsidRPr="0023693E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236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«Організація оздоровлення  та відпочинку дітей».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Так,в поточному році оздоровлено в дитячих оздоровчих закладах Донецької області 412 дітей, у тому числі  безкоштовно 215 дітей пільгових категорій. Всього на організацію дитячого оздоровлення  у 2019 році  </w:t>
      </w:r>
      <w:r>
        <w:rPr>
          <w:rFonts w:ascii="Times New Roman" w:hAnsi="Times New Roman" w:cs="Times New Roman"/>
          <w:sz w:val="28"/>
          <w:szCs w:val="28"/>
          <w:lang w:val="uk-UA"/>
        </w:rPr>
        <w:t>в рамках Комплексної програми Бахмутської міської ради «Молодь. Сім</w:t>
      </w:r>
      <w:r w:rsidRPr="00BD480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я. Діти.», затвердженої рішенням Бахмутської міської ради від 27.06.2017 № 6/102-1901 із змінами,  </w:t>
      </w:r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було використано  2293,5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 xml:space="preserve">., у тому числі з коштів місцевого бюджету – 1109,6 </w:t>
      </w:r>
      <w:proofErr w:type="spellStart"/>
      <w:r w:rsidRPr="002369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3693E">
        <w:rPr>
          <w:rFonts w:ascii="Times New Roman" w:hAnsi="Times New Roman" w:cs="Times New Roman"/>
          <w:sz w:val="28"/>
          <w:szCs w:val="28"/>
          <w:lang w:val="uk-UA"/>
        </w:rPr>
        <w:t>. Крім того, протягом звітного періоду через Управління направлено на оздоровлення за рахунок державного бюджету до  дитячих центрів «Артек» та «Молода Гвардія» 38 дітей пільгових категорій.</w:t>
      </w:r>
    </w:p>
    <w:p w:rsidR="00B03E45" w:rsidRPr="0023693E" w:rsidRDefault="00B03E45" w:rsidP="00B03E45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23693E">
        <w:rPr>
          <w:rFonts w:ascii="Times New Roman" w:hAnsi="Times New Roman"/>
          <w:sz w:val="28"/>
          <w:szCs w:val="28"/>
          <w:lang w:val="uk-UA" w:eastAsia="ru-RU"/>
        </w:rPr>
        <w:t xml:space="preserve">Практичне виконання заходів, визначених Програмою, шляхом надання додаткових пільг та </w:t>
      </w:r>
      <w:proofErr w:type="spellStart"/>
      <w:r w:rsidRPr="0023693E">
        <w:rPr>
          <w:rFonts w:ascii="Times New Roman" w:hAnsi="Times New Roman"/>
          <w:sz w:val="28"/>
          <w:szCs w:val="28"/>
          <w:lang w:val="uk-UA" w:eastAsia="ru-RU"/>
        </w:rPr>
        <w:t>допомог</w:t>
      </w:r>
      <w:proofErr w:type="spellEnd"/>
      <w:r w:rsidRPr="0023693E">
        <w:rPr>
          <w:rFonts w:ascii="Times New Roman" w:hAnsi="Times New Roman"/>
          <w:sz w:val="28"/>
          <w:szCs w:val="28"/>
          <w:lang w:val="uk-UA" w:eastAsia="ru-RU"/>
        </w:rPr>
        <w:t xml:space="preserve"> дає можливість значно посилити соціальний захист окремих категорій громадян, ефективно спрямовувати відповідні грошові кошти на підтримку  найбільш незахищених  верств населення.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Управління праці та соціального</w:t>
      </w:r>
    </w:p>
    <w:p w:rsidR="00B03E45" w:rsidRPr="0023693E" w:rsidRDefault="00B03E45" w:rsidP="00B03E4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 населення  Бахмутської міської ради                            І.В.</w:t>
      </w:r>
      <w:proofErr w:type="spellStart"/>
      <w:r w:rsidRPr="0023693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Сподіна</w:t>
      </w:r>
      <w:proofErr w:type="spellEnd"/>
    </w:p>
    <w:p w:rsidR="00B03E45" w:rsidRPr="0023693E" w:rsidRDefault="00B03E45" w:rsidP="00B03E4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03E45" w:rsidRDefault="00B03E45" w:rsidP="00B03E45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3E45" w:rsidRDefault="00B03E45" w:rsidP="00B03E45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3E45" w:rsidRDefault="00B03E45" w:rsidP="00B03E45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3E45" w:rsidRDefault="00B03E45" w:rsidP="00B03E45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3E45" w:rsidRDefault="00B03E45" w:rsidP="00B03E45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3E45" w:rsidRDefault="00B03E45" w:rsidP="00B03E45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00000" w:rsidRPr="00B03E45" w:rsidRDefault="003E1EF4">
      <w:pPr>
        <w:rPr>
          <w:lang w:val="uk-UA"/>
        </w:rPr>
      </w:pPr>
    </w:p>
    <w:sectPr w:rsidR="00000000" w:rsidRPr="00B0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03E45"/>
    <w:rsid w:val="00B0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3E4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B03E45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2841</Words>
  <Characters>16195</Characters>
  <Application>Microsoft Office Word</Application>
  <DocSecurity>0</DocSecurity>
  <Lines>134</Lines>
  <Paragraphs>37</Paragraphs>
  <ScaleCrop>false</ScaleCrop>
  <Company/>
  <LinksUpToDate>false</LinksUpToDate>
  <CharactersWithSpaces>18999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3</cp:revision>
  <dcterms:created xsi:type="dcterms:W3CDTF">2019-12-27T12:16:00Z</dcterms:created>
  <dcterms:modified xsi:type="dcterms:W3CDTF">2019-12-27T12:18:00Z</dcterms:modified>
</cp:coreProperties>
</file>