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543" w:rsidRPr="00917091" w:rsidRDefault="00431A89" w:rsidP="009E7E0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431A89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8" o:title=""/>
          </v:shape>
        </w:pict>
      </w:r>
      <w:r w:rsidR="00CC5543" w:rsidRPr="0040688F">
        <w:rPr>
          <w:rFonts w:ascii="Times New Roman" w:hAnsi="Times New Roman" w:cs="Times New Roman"/>
          <w:lang w:val="uk-UA"/>
        </w:rPr>
        <w:br w:type="textWrapping" w:clear="all"/>
      </w:r>
    </w:p>
    <w:p w:rsidR="00CC5543" w:rsidRPr="00933879" w:rsidRDefault="00CC5543" w:rsidP="009E7E04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915C2A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    </w:t>
      </w:r>
      <w:r w:rsidR="00865D6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141  </w:t>
      </w:r>
      <w:r w:rsidR="00CC5543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>СЕСІЯ 6 СКЛИКАННЯ</w:t>
      </w:r>
    </w:p>
    <w:p w:rsidR="00CC5543" w:rsidRPr="00917091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C5543" w:rsidRPr="0040688F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:rsidR="00CC5543" w:rsidRPr="00917091" w:rsidRDefault="00CC5543" w:rsidP="009E7E0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C5543" w:rsidRPr="0040688F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7408E" w:rsidRDefault="00EF16FA" w:rsidP="009E7E04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21</w:t>
      </w:r>
      <w:r w:rsidR="00CC5543" w:rsidRPr="0027408E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DF60C5">
        <w:rPr>
          <w:rFonts w:ascii="Times New Roman" w:hAnsi="Times New Roman" w:cs="Times New Roman"/>
          <w:sz w:val="28"/>
          <w:szCs w:val="28"/>
          <w:u w:val="single"/>
          <w:lang w:val="uk-UA"/>
        </w:rPr>
        <w:t>04.2020 № 6/</w:t>
      </w:r>
      <w:r w:rsidR="00865D6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141 -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2970</w:t>
      </w:r>
    </w:p>
    <w:p w:rsidR="00CC5543" w:rsidRPr="0027408E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tbl>
      <w:tblPr>
        <w:tblW w:w="0" w:type="auto"/>
        <w:tblInd w:w="-106" w:type="dxa"/>
        <w:tblLook w:val="01E0"/>
      </w:tblPr>
      <w:tblGrid>
        <w:gridCol w:w="5760"/>
      </w:tblGrid>
      <w:tr w:rsidR="00CC5543" w:rsidRPr="00115957">
        <w:tc>
          <w:tcPr>
            <w:tcW w:w="5760" w:type="dxa"/>
          </w:tcPr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внесення змін до 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:rsidR="00394819" w:rsidRDefault="00394819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окремих категорій громадян на</w:t>
            </w:r>
            <w:r w:rsidR="00CC5543"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CC5543" w:rsidRPr="00394819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2019-2022 роки</w:t>
            </w:r>
          </w:p>
        </w:tc>
      </w:tr>
    </w:tbl>
    <w:p w:rsidR="00CC5543" w:rsidRDefault="00CC5543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2F196B" w:rsidRPr="00917091" w:rsidRDefault="002F196B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C57493" w:rsidRDefault="00CC554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91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доповідну записку </w:t>
      </w:r>
      <w:r w:rsidR="00394819" w:rsidRPr="0039481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4819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 І.В.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96B" w:rsidRPr="00B07913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15C2A">
        <w:rPr>
          <w:rFonts w:ascii="Times New Roman" w:hAnsi="Times New Roman" w:cs="Times New Roman"/>
          <w:sz w:val="28"/>
          <w:szCs w:val="28"/>
          <w:lang w:val="uk-UA"/>
        </w:rPr>
        <w:t xml:space="preserve"> 13.04.2020 № 08/2253 </w:t>
      </w:r>
      <w:r w:rsidR="00DF60C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DF60C5">
        <w:rPr>
          <w:rFonts w:ascii="Times New Roman" w:hAnsi="Times New Roman" w:cs="Times New Roman"/>
          <w:sz w:val="28"/>
          <w:szCs w:val="28"/>
          <w:lang w:val="uk-UA"/>
        </w:rPr>
        <w:t>вх.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№</w:t>
      </w:r>
      <w:proofErr w:type="spellEnd"/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E93488">
        <w:rPr>
          <w:rFonts w:ascii="Times New Roman" w:hAnsi="Times New Roman" w:cs="Times New Roman"/>
          <w:sz w:val="28"/>
          <w:szCs w:val="28"/>
          <w:lang w:val="uk-UA"/>
        </w:rPr>
        <w:t>01-2248-06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 від 13.04.2020</w:t>
      </w:r>
      <w:r w:rsidR="00DF60C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196B" w:rsidRPr="00B0791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Комплексної програми  по соціальному захисту окремих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категорій </w:t>
      </w:r>
      <w:r w:rsidR="00514C9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громадян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рішенням Бахмутської міської ради від 28.11.2018 № 6/123-2363 (зі змінами),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>враховуючи висновки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865D62">
        <w:rPr>
          <w:rFonts w:ascii="Times New Roman" w:hAnsi="Times New Roman" w:cs="Times New Roman"/>
          <w:sz w:val="28"/>
          <w:szCs w:val="28"/>
          <w:lang w:val="uk-UA"/>
        </w:rPr>
        <w:t>Фінансового управління Бахмутської міської ради від 14.04.2020 №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865D62">
        <w:rPr>
          <w:rFonts w:ascii="Times New Roman" w:hAnsi="Times New Roman" w:cs="Times New Roman"/>
          <w:sz w:val="28"/>
          <w:szCs w:val="28"/>
          <w:lang w:val="uk-UA"/>
        </w:rPr>
        <w:t>02-23/218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EB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економічного </w:t>
      </w:r>
      <w:r w:rsidR="00AB7EBD" w:rsidRPr="00865D62">
        <w:rPr>
          <w:rFonts w:ascii="Times New Roman" w:hAnsi="Times New Roman" w:cs="Times New Roman"/>
          <w:sz w:val="28"/>
          <w:szCs w:val="28"/>
          <w:lang w:val="uk-UA"/>
        </w:rPr>
        <w:t>розвитку Бахмутської</w:t>
      </w:r>
      <w:r w:rsidR="00394819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4E6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</w:t>
      </w:r>
      <w:r w:rsidR="00865D62" w:rsidRPr="00865D62">
        <w:rPr>
          <w:rFonts w:ascii="Times New Roman" w:hAnsi="Times New Roman" w:cs="Times New Roman"/>
          <w:sz w:val="28"/>
          <w:szCs w:val="28"/>
          <w:lang w:val="uk-UA"/>
        </w:rPr>
        <w:t>15.04</w:t>
      </w:r>
      <w:r w:rsidR="007344E6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.2020 </w:t>
      </w:r>
      <w:r w:rsidR="00865D62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 № 287</w:t>
      </w:r>
      <w:r w:rsidR="00394819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/02, </w:t>
      </w:r>
      <w:r w:rsidR="00CC2F0F" w:rsidRPr="00865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5D62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до  з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аконів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України: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«Про основи соціальної захищеності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Україні»,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«Про соціальний і правовий захист військовослужбовців та членів їх сімей»,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«Про статус ветеранів війни, гарантії їх соціального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захисту»,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основні засади соціального захисту ветеранів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похилого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віку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Україні»,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дитинства», </w:t>
      </w:r>
      <w:r w:rsidRPr="006569EC">
        <w:rPr>
          <w:rFonts w:ascii="Times New Roman" w:hAnsi="Times New Roman" w:cs="Times New Roman"/>
          <w:sz w:val="28"/>
          <w:szCs w:val="28"/>
          <w:lang w:val="uk-UA"/>
        </w:rPr>
        <w:t xml:space="preserve"> «Про оздоровлення та відпочинок дітей»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забезпечення прав і свобо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д внутрішньо переміщених осіб»,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DD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№6/98-178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 (зі змінами)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, керуючись ст.26 Закону Ук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C57493" w:rsidRPr="002C0BB4" w:rsidRDefault="00C5749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4E6" w:rsidRPr="002C0BB4" w:rsidRDefault="007344E6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493" w:rsidRDefault="00C5749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8026F4" w:rsidRDefault="00CC5543" w:rsidP="002B2CEC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CC5543" w:rsidRPr="00917091" w:rsidRDefault="00CC5543" w:rsidP="009E7E04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:rsidR="00CC5543" w:rsidRDefault="00CC5543" w:rsidP="009E7E04">
      <w:pPr>
        <w:numPr>
          <w:ilvl w:val="0"/>
          <w:numId w:val="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23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окремих категорій громадян 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Бахмутської міської ради від 28.11.2018 №6/123-2363</w:t>
      </w:r>
      <w:r>
        <w:rPr>
          <w:rFonts w:ascii="Times New Roman" w:hAnsi="Times New Roman" w:cs="Times New Roman"/>
          <w:sz w:val="28"/>
          <w:szCs w:val="28"/>
          <w:lang w:val="uk-UA"/>
        </w:rPr>
        <w:t>, із змі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нами, внесеними до неї рішенням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ької ради</w:t>
      </w:r>
      <w:r w:rsidR="00915C2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27.11.2019 № 6/135-2738, від </w:t>
      </w:r>
      <w:r w:rsidR="00915C2A">
        <w:rPr>
          <w:rFonts w:ascii="Times New Roman" w:hAnsi="Times New Roman" w:cs="Times New Roman"/>
          <w:sz w:val="28"/>
          <w:szCs w:val="28"/>
          <w:lang w:val="uk-UA"/>
        </w:rPr>
        <w:t>26.02.2020 № 6/140 -2921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(далі – Програма) :</w:t>
      </w:r>
    </w:p>
    <w:p w:rsidR="00CC5543" w:rsidRDefault="00CC5543" w:rsidP="00222468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Default="0013778D" w:rsidP="009A0EF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</w:t>
      </w:r>
      <w:r w:rsidR="00CC5543" w:rsidRPr="006F040E">
        <w:rPr>
          <w:rFonts w:ascii="Times New Roman" w:hAnsi="Times New Roman" w:cs="Times New Roman"/>
          <w:sz w:val="28"/>
          <w:szCs w:val="28"/>
        </w:rPr>
        <w:t xml:space="preserve">. Пункт 9 та підпункт 9.1. Паспорту </w:t>
      </w:r>
      <w:r w:rsidR="00CC554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C5543" w:rsidRPr="006F040E">
        <w:rPr>
          <w:rFonts w:ascii="Times New Roman" w:hAnsi="Times New Roman" w:cs="Times New Roman"/>
          <w:color w:val="000000"/>
          <w:sz w:val="28"/>
          <w:szCs w:val="28"/>
        </w:rPr>
        <w:t xml:space="preserve">рограми </w:t>
      </w:r>
      <w:r w:rsidR="00CC5543" w:rsidRPr="006F040E">
        <w:rPr>
          <w:rFonts w:ascii="Times New Roman" w:hAnsi="Times New Roman" w:cs="Times New Roman"/>
          <w:sz w:val="28"/>
          <w:szCs w:val="28"/>
        </w:rPr>
        <w:t>викласти у новій редакції:</w:t>
      </w:r>
    </w:p>
    <w:p w:rsidR="00CC5543" w:rsidRPr="006F040E" w:rsidRDefault="00CC5543" w:rsidP="009A0EF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6"/>
        <w:gridCol w:w="3996"/>
        <w:gridCol w:w="5103"/>
      </w:tblGrid>
      <w:tr w:rsidR="00CC5543" w:rsidRPr="00915C2A">
        <w:trPr>
          <w:trHeight w:val="705"/>
        </w:trPr>
        <w:tc>
          <w:tcPr>
            <w:tcW w:w="576" w:type="dxa"/>
          </w:tcPr>
          <w:p w:rsidR="00CC5543" w:rsidRPr="00915C2A" w:rsidRDefault="00CC5543" w:rsidP="00F3794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996" w:type="dxa"/>
          </w:tcPr>
          <w:p w:rsidR="00CC5543" w:rsidRPr="00915C2A" w:rsidRDefault="00CC5543" w:rsidP="00F3794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 Програми, всього:</w:t>
            </w:r>
          </w:p>
        </w:tc>
        <w:tc>
          <w:tcPr>
            <w:tcW w:w="5103" w:type="dxa"/>
          </w:tcPr>
          <w:p w:rsidR="00CC5543" w:rsidRPr="00915C2A" w:rsidRDefault="00CC5543" w:rsidP="00F3794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915C2A" w:rsidRDefault="00915C2A" w:rsidP="00F3794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2047276</w:t>
            </w:r>
            <w:r w:rsidR="003F29AF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,8</w:t>
            </w:r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C5543" w:rsidRPr="00915C2A">
        <w:trPr>
          <w:trHeight w:val="1679"/>
        </w:trPr>
        <w:tc>
          <w:tcPr>
            <w:tcW w:w="576" w:type="dxa"/>
          </w:tcPr>
          <w:p w:rsidR="00CC5543" w:rsidRPr="00915C2A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96" w:type="dxa"/>
          </w:tcPr>
          <w:p w:rsidR="00CC5543" w:rsidRPr="00915C2A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7519D4" w:rsidRPr="00915C2A" w:rsidRDefault="007519D4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міського бюджету</w:t>
            </w:r>
          </w:p>
          <w:p w:rsidR="00CC5543" w:rsidRPr="00915C2A" w:rsidRDefault="00CC5543" w:rsidP="0034237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коштів  бюджету Бахмутської міської об’єднаної </w:t>
            </w:r>
            <w:proofErr w:type="spellStart"/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територі-альної</w:t>
            </w:r>
            <w:proofErr w:type="spellEnd"/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громади;</w:t>
            </w:r>
          </w:p>
          <w:p w:rsidR="00CC5543" w:rsidRPr="00915C2A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CC5543" w:rsidRPr="00915C2A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 бюджету;</w:t>
            </w:r>
          </w:p>
          <w:p w:rsidR="00CC5543" w:rsidRPr="00915C2A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інших  джерел.</w:t>
            </w:r>
          </w:p>
        </w:tc>
        <w:tc>
          <w:tcPr>
            <w:tcW w:w="5103" w:type="dxa"/>
          </w:tcPr>
          <w:p w:rsidR="00CC5543" w:rsidRPr="00915C2A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19D4" w:rsidRPr="00915C2A" w:rsidRDefault="007519D4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37229,8 </w:t>
            </w:r>
            <w:proofErr w:type="spellStart"/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915C2A" w:rsidRDefault="00915C2A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17065</w:t>
            </w:r>
            <w:r w:rsidR="007519D4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</w:t>
            </w:r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915C2A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915C2A" w:rsidRDefault="00CC5543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915C2A" w:rsidRDefault="00915C2A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5234</w:t>
            </w:r>
            <w:r w:rsidR="007519D4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,5 </w:t>
            </w:r>
            <w:proofErr w:type="spellStart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915C2A" w:rsidRDefault="00CC5543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1785796,1 </w:t>
            </w:r>
            <w:proofErr w:type="spellStart"/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915C2A" w:rsidRDefault="007519D4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1251,6</w:t>
            </w:r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915C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CC5543" w:rsidRDefault="00CC5543" w:rsidP="009E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CC5543" w:rsidRDefault="0013778D" w:rsidP="0013778D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543" w:rsidRPr="00B60B9F">
        <w:rPr>
          <w:rFonts w:ascii="Times New Roman" w:hAnsi="Times New Roman" w:cs="Times New Roman"/>
          <w:sz w:val="28"/>
          <w:szCs w:val="28"/>
          <w:lang w:val="uk-UA"/>
        </w:rPr>
        <w:t>Розділ 6 «Обсяги та джерела фінансування Програми»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</w:p>
    <w:p w:rsidR="00CC5543" w:rsidRPr="00B60B9F" w:rsidRDefault="00CC5543" w:rsidP="00B60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B9F">
        <w:rPr>
          <w:rFonts w:ascii="Times New Roman" w:hAnsi="Times New Roman" w:cs="Times New Roman"/>
          <w:sz w:val="28"/>
          <w:szCs w:val="28"/>
          <w:lang w:val="uk-UA"/>
        </w:rPr>
        <w:t>у новій редакції:</w:t>
      </w:r>
    </w:p>
    <w:p w:rsidR="00CC5543" w:rsidRPr="00B60B9F" w:rsidRDefault="00CC5543" w:rsidP="00B60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B2CEC" w:rsidRDefault="007F5191" w:rsidP="007F5191">
      <w:pPr>
        <w:pStyle w:val="a3"/>
        <w:spacing w:after="0"/>
        <w:ind w:left="360"/>
        <w:rPr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2B2CEC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Обсяги</w:t>
      </w:r>
      <w:proofErr w:type="spellEnd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джерела</w:t>
      </w:r>
      <w:proofErr w:type="spellEnd"/>
      <w:r w:rsidR="00CC5543" w:rsidRPr="00B60B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="00CC5543" w:rsidRPr="00B60B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2B2CEC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CC5543" w:rsidRPr="00061330" w:rsidRDefault="00CC5543" w:rsidP="009E7E04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C5543" w:rsidRPr="00915C2A" w:rsidRDefault="00CC5543" w:rsidP="00C57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Програми в цілому складає   </w:t>
      </w:r>
      <w:r w:rsidR="00915C2A" w:rsidRPr="00915C2A">
        <w:rPr>
          <w:rFonts w:ascii="Times New Roman" w:hAnsi="Times New Roman" w:cs="Times New Roman"/>
          <w:sz w:val="28"/>
          <w:szCs w:val="28"/>
          <w:lang w:val="uk-UA"/>
        </w:rPr>
        <w:t>204727</w:t>
      </w:r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>6,8</w:t>
      </w: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5C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15C2A">
        <w:rPr>
          <w:rFonts w:ascii="Times New Roman" w:hAnsi="Times New Roman" w:cs="Times New Roman"/>
          <w:sz w:val="28"/>
          <w:szCs w:val="28"/>
          <w:lang w:val="uk-UA"/>
        </w:rPr>
        <w:t>., в тому числі:</w:t>
      </w:r>
    </w:p>
    <w:p w:rsidR="00332338" w:rsidRPr="00915C2A" w:rsidRDefault="00332338" w:rsidP="00C57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915C2A" w:rsidRDefault="007F5191" w:rsidP="007F5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54508" w:rsidRPr="00915C2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коштів міського бюджету -37229,8 </w:t>
      </w:r>
      <w:proofErr w:type="spellStart"/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915C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915C2A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- коштів бюджету Бахмутської міської об’єднаної територіальної громади                                                                        </w:t>
      </w:r>
      <w:r w:rsidR="0038687C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15C2A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- 17065</w:t>
      </w:r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>1,8</w:t>
      </w:r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915C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915C2A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>- коштів обласного бюджету</w:t>
      </w:r>
      <w:r w:rsidR="00C175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-</w:t>
      </w:r>
      <w:r w:rsidR="00915C2A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5234</w:t>
      </w:r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>7,5</w:t>
      </w:r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915C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915C2A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- коштів державного бюджету  </w:t>
      </w:r>
      <w:r w:rsidR="00C175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-</w:t>
      </w:r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1785796,1  </w:t>
      </w:r>
      <w:proofErr w:type="spellStart"/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915C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915C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915C2A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2A">
        <w:rPr>
          <w:rFonts w:ascii="Times New Roman" w:hAnsi="Times New Roman" w:cs="Times New Roman"/>
          <w:sz w:val="28"/>
          <w:szCs w:val="28"/>
          <w:lang w:val="uk-UA"/>
        </w:rPr>
        <w:t>- кошти інших  джерел</w:t>
      </w:r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75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-</w:t>
      </w:r>
      <w:r w:rsidR="00332338" w:rsidRPr="00915C2A">
        <w:rPr>
          <w:rFonts w:ascii="Times New Roman" w:hAnsi="Times New Roman" w:cs="Times New Roman"/>
          <w:sz w:val="28"/>
          <w:szCs w:val="28"/>
          <w:lang w:val="uk-UA"/>
        </w:rPr>
        <w:t>1251,6</w:t>
      </w:r>
      <w:r w:rsidRPr="00915C2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915C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15C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543" w:rsidRPr="00915C2A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C2A">
        <w:rPr>
          <w:rFonts w:ascii="Times New Roman" w:hAnsi="Times New Roman" w:cs="Times New Roman"/>
          <w:sz w:val="28"/>
          <w:szCs w:val="28"/>
          <w:lang w:val="uk-UA"/>
        </w:rPr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Програми».</w:t>
      </w:r>
    </w:p>
    <w:p w:rsidR="00CC5543" w:rsidRPr="00061330" w:rsidRDefault="00CC5543" w:rsidP="00AB6012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color w:val="FF0000"/>
          <w:sz w:val="27"/>
          <w:szCs w:val="27"/>
          <w:lang w:val="uk-UA"/>
        </w:rPr>
      </w:pPr>
    </w:p>
    <w:p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ок 1 «Заходи з реалізації  Програми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1.</w:t>
      </w:r>
    </w:p>
    <w:p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викласти у новій  редакції згідно з додатком 2.</w:t>
      </w:r>
    </w:p>
    <w:p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>. Додаток 3  «Ресурсне забезпечення Програми» викласти у новій редакції  згідно з додатком 3.</w:t>
      </w:r>
    </w:p>
    <w:p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414C5A" w:rsidRDefault="00CC5543" w:rsidP="00414C5A">
      <w:pPr>
        <w:numPr>
          <w:ilvl w:val="0"/>
          <w:numId w:val="1"/>
        </w:numPr>
        <w:tabs>
          <w:tab w:val="clear" w:pos="1211"/>
          <w:tab w:val="num" w:pos="993"/>
        </w:tabs>
        <w:spacing w:after="0" w:line="240" w:lineRule="atLeast"/>
        <w:ind w:hanging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  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управлінню   Бахмутс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>ької    міської    ради (Ткаченко)</w:t>
      </w:r>
    </w:p>
    <w:p w:rsidR="00CC5543" w:rsidRPr="00414C5A" w:rsidRDefault="00CC5543" w:rsidP="00414C5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</w:t>
      </w:r>
      <w:r w:rsidR="0013778D" w:rsidRPr="00414C5A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 на 2020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 рік на ці цілі, та передбачати кошти на фінансування заходів Програми 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proofErr w:type="spellStart"/>
      <w:r w:rsidR="00414C5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бюджету  Бахмутської міської об’єднаної територіальної громади  на наступні роки.</w:t>
      </w:r>
    </w:p>
    <w:p w:rsidR="00CC5543" w:rsidRPr="00852994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22468" w:rsidRDefault="00CC5543" w:rsidP="002D7F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Вважати  таким, що  втратило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чинність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рішення Бахмутської міської р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>ади від 26.02.2020 № 6/140-2921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Комплексної програми по соціальному захисту окремих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категорій громадян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019-2022 роки»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D7F56" w:rsidRDefault="00CC5543" w:rsidP="00C5749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87C" w:rsidRPr="002D7F56">
        <w:rPr>
          <w:rFonts w:ascii="Times New Roman" w:hAnsi="Times New Roman" w:cs="Times New Roman"/>
          <w:sz w:val="28"/>
          <w:szCs w:val="28"/>
          <w:lang w:val="uk-UA"/>
        </w:rPr>
        <w:t>покласти на Управління праці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57493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Бахмутської міської ради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>), Фінансове управління Бахмутської міської ради (Ткаченко), заступника міського   голови   Точену  В.В.,   першого   заступника   міського   голови Савченко Т.М.</w:t>
      </w:r>
    </w:p>
    <w:p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D7F56" w:rsidRDefault="00CC5543" w:rsidP="00EF3A32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ня покласти на постійні комісії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ради: з питань соціального захисту населення і охорони здоров’я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CC5543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63C" w:rsidRDefault="007A763C" w:rsidP="003879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Default="00CC5543" w:rsidP="004343D3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    </w:t>
      </w:r>
      <w:r w:rsidR="007A76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О.О.РЕВА</w:t>
      </w:r>
    </w:p>
    <w:p w:rsidR="00CC5543" w:rsidRDefault="00CC5543" w:rsidP="008434AD">
      <w:pPr>
        <w:tabs>
          <w:tab w:val="left" w:pos="1735"/>
          <w:tab w:val="left" w:pos="2019"/>
        </w:tabs>
        <w:spacing w:after="0" w:line="220" w:lineRule="auto"/>
        <w:rPr>
          <w:rFonts w:ascii="Times New Roman" w:hAnsi="Times New Roman" w:cs="Times New Roman"/>
          <w:snapToGrid w:val="0"/>
          <w:sz w:val="20"/>
          <w:szCs w:val="20"/>
          <w:lang w:val="uk-UA"/>
        </w:rPr>
        <w:sectPr w:rsidR="00CC5543" w:rsidSect="000257C9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right"/>
        <w:tblLook w:val="00A0"/>
      </w:tblPr>
      <w:tblGrid>
        <w:gridCol w:w="14786"/>
      </w:tblGrid>
      <w:tr w:rsidR="00CC5543" w:rsidRPr="00EF16FA" w:rsidTr="000257C9">
        <w:trPr>
          <w:jc w:val="right"/>
        </w:trPr>
        <w:tc>
          <w:tcPr>
            <w:tcW w:w="14786" w:type="dxa"/>
          </w:tcPr>
          <w:tbl>
            <w:tblPr>
              <w:tblW w:w="0" w:type="auto"/>
              <w:tblLook w:val="00A0"/>
            </w:tblPr>
            <w:tblGrid>
              <w:gridCol w:w="14570"/>
            </w:tblGrid>
            <w:tr w:rsidR="00EF5C5A" w:rsidTr="00AB7EBD">
              <w:tc>
                <w:tcPr>
                  <w:tcW w:w="14570" w:type="dxa"/>
                </w:tcPr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Додаток 2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до Комплексної програми по соціальному      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захисту окремих категорій громадян на 2019-  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2022 роки, затвердженої рішенням Бахмутської </w:t>
                  </w:r>
                  <w:r w:rsidR="00324FCD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  </w:t>
                  </w:r>
                </w:p>
                <w:p w:rsidR="00EF5C5A" w:rsidRDefault="00324FCD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міської ради </w:t>
                  </w:r>
                  <w:r w:rsidR="00EF5C5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28.11.2018 №6/123-2363</w:t>
                  </w:r>
                  <w:r w:rsidR="008C329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, із змінами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(Додаток 2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у редакції рішення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Бахмутської міської ради</w:t>
                  </w:r>
                </w:p>
                <w:p w:rsidR="00EF5C5A" w:rsidRDefault="00EF16F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( 21.</w:t>
                  </w:r>
                  <w:r w:rsidR="00324FCD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="00EC5369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04</w:t>
                  </w:r>
                  <w:r w:rsidR="00324FCD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.2020№6/</w:t>
                  </w:r>
                  <w:r w:rsidR="00EC5369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141-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2970 </w:t>
                  </w:r>
                  <w:r w:rsidR="00EF5C5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)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right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F5C5A" w:rsidRDefault="00EF5C5A" w:rsidP="00EF5C5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ПОКАЗНИКИ  РЕЗУЛЬТАТИВНОСТІ  ПРОГРАМИ</w:t>
            </w:r>
          </w:p>
          <w:tbl>
            <w:tblPr>
              <w:tblW w:w="14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1E0"/>
            </w:tblPr>
            <w:tblGrid>
              <w:gridCol w:w="427"/>
              <w:gridCol w:w="7089"/>
              <w:gridCol w:w="1330"/>
              <w:gridCol w:w="142"/>
              <w:gridCol w:w="87"/>
              <w:gridCol w:w="905"/>
              <w:gridCol w:w="142"/>
              <w:gridCol w:w="87"/>
              <w:gridCol w:w="1047"/>
              <w:gridCol w:w="87"/>
              <w:gridCol w:w="1134"/>
              <w:gridCol w:w="1134"/>
              <w:gridCol w:w="848"/>
              <w:gridCol w:w="286"/>
            </w:tblGrid>
            <w:tr w:rsidR="00EF5C5A" w:rsidTr="00AB7EBD">
              <w:trPr>
                <w:trHeight w:val="419"/>
              </w:trPr>
              <w:tc>
                <w:tcPr>
                  <w:tcW w:w="426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№ з/п</w:t>
                  </w:r>
                </w:p>
              </w:tc>
              <w:tc>
                <w:tcPr>
                  <w:tcW w:w="7087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Назва показника</w:t>
                  </w:r>
                </w:p>
              </w:tc>
              <w:tc>
                <w:tcPr>
                  <w:tcW w:w="1330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Одиниця виміру</w:t>
                  </w:r>
                </w:p>
              </w:tc>
              <w:tc>
                <w:tcPr>
                  <w:tcW w:w="1134" w:type="dxa"/>
                  <w:gridSpan w:val="3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Вихідні дані на початок дії програми</w:t>
                  </w:r>
                </w:p>
              </w:tc>
              <w:tc>
                <w:tcPr>
                  <w:tcW w:w="4479" w:type="dxa"/>
                  <w:gridSpan w:val="7"/>
                  <w:tcBorders>
                    <w:righ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Етапи виконання Програми</w:t>
                  </w:r>
                </w:p>
              </w:tc>
              <w:tc>
                <w:tcPr>
                  <w:tcW w:w="286" w:type="dxa"/>
                  <w:vMerge w:val="restart"/>
                  <w:tcBorders>
                    <w:lef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F5C5A" w:rsidTr="00AB7EBD">
              <w:trPr>
                <w:trHeight w:val="555"/>
              </w:trPr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900" w:type="dxa"/>
                  <w:gridSpan w:val="3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497" w:type="dxa"/>
                  <w:gridSpan w:val="5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I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</w:t>
                  </w:r>
                </w:p>
              </w:tc>
              <w:tc>
                <w:tcPr>
                  <w:tcW w:w="1982" w:type="dxa"/>
                  <w:gridSpan w:val="2"/>
                  <w:tcBorders>
                    <w:righ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 xml:space="preserve">  етап</w:t>
                  </w:r>
                </w:p>
              </w:tc>
              <w:tc>
                <w:tcPr>
                  <w:tcW w:w="286" w:type="dxa"/>
                  <w:vMerge/>
                  <w:tcBorders>
                    <w:left w:val="nil"/>
                  </w:tcBorders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F5C5A" w:rsidTr="00AB7EBD"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900" w:type="dxa"/>
                  <w:gridSpan w:val="3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3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ind w:right="369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19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221" w:type="dxa"/>
                  <w:gridSpan w:val="2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21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134" w:type="dxa"/>
                  <w:gridSpan w:val="2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2022 рік</w:t>
                  </w:r>
                </w:p>
              </w:tc>
            </w:tr>
            <w:tr w:rsidR="00EF5C5A" w:rsidTr="00AB7EBD">
              <w:trPr>
                <w:trHeight w:val="187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EF5C5A" w:rsidTr="00AB7EBD">
              <w:trPr>
                <w:trHeight w:val="335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tabs>
                      <w:tab w:val="left" w:pos="225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І. </w:t>
                  </w:r>
                  <w:r w:rsidRPr="009E56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 витрат</w:t>
                  </w:r>
                </w:p>
              </w:tc>
            </w:tr>
            <w:tr w:rsidR="00EF5C5A" w:rsidRPr="00324FCD" w:rsidTr="00AB7EBD">
              <w:trPr>
                <w:trHeight w:val="682"/>
              </w:trPr>
              <w:tc>
                <w:tcPr>
                  <w:tcW w:w="426" w:type="dxa"/>
                </w:tcPr>
                <w:p w:rsidR="00EF5C5A" w:rsidRPr="00324FCD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1.</w:t>
                  </w:r>
                </w:p>
              </w:tc>
              <w:tc>
                <w:tcPr>
                  <w:tcW w:w="7087" w:type="dxa"/>
                </w:tcPr>
                <w:p w:rsidR="00EF5C5A" w:rsidRPr="00324FCD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Загальний обсяг витрат на реалізацію заходів  Програми</w:t>
                  </w:r>
                </w:p>
              </w:tc>
              <w:tc>
                <w:tcPr>
                  <w:tcW w:w="1330" w:type="dxa"/>
                </w:tcPr>
                <w:p w:rsidR="00EF5C5A" w:rsidRPr="00324FCD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тис. грн.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Pr="00324FCD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7730,95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Pr="00324FCD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462183,6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Pr="00324FCD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49887</w:t>
                  </w:r>
                  <w:r w:rsidR="00EF5C5A"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9,6</w:t>
                  </w:r>
                </w:p>
              </w:tc>
              <w:tc>
                <w:tcPr>
                  <w:tcW w:w="1134" w:type="dxa"/>
                </w:tcPr>
                <w:p w:rsidR="00EF5C5A" w:rsidRPr="00324FCD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52394</w:t>
                  </w:r>
                  <w:r w:rsidR="00EF5C5A"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Pr="00324FCD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56227</w:t>
                  </w:r>
                  <w:r w:rsidR="00EF5C5A"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1,1</w:t>
                  </w:r>
                </w:p>
              </w:tc>
            </w:tr>
            <w:tr w:rsidR="00EF5C5A" w:rsidTr="00AB7EBD">
              <w:trPr>
                <w:trHeight w:val="274"/>
              </w:trPr>
              <w:tc>
                <w:tcPr>
                  <w:tcW w:w="14742" w:type="dxa"/>
                  <w:gridSpan w:val="14"/>
                </w:tcPr>
                <w:p w:rsidR="00EF5C5A" w:rsidRPr="00DF14FD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ІІ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9E56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продукту</w:t>
                  </w:r>
                </w:p>
              </w:tc>
            </w:tr>
            <w:tr w:rsidR="00EF5C5A" w:rsidTr="00AB7EBD">
              <w:trPr>
                <w:trHeight w:val="51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осіб, які отримають фінансову підтримку  за рахунок державного та обласного бюджету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5150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Pr="00324FCD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24FC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5259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5279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5309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фінансову підтримку 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1055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1068</w:t>
                  </w:r>
                </w:p>
              </w:tc>
              <w:tc>
                <w:tcPr>
                  <w:tcW w:w="1134" w:type="dxa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1083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1109</w:t>
                  </w:r>
                </w:p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компенсаційні виплати та допомоги відповідно діючого законодавства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додаткові компенсаційні виплати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253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0257C9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реалізують право на пільговий проїзд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22700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пільги, передбачені діючим законодавством, на житлово-комунальні послуги та послуги </w:t>
                  </w:r>
                  <w:r w:rsidRPr="00DF14F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зв’язку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за рахунок державного та обласного бюджетів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6320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знижку на житлово-комунальні послуги та послуги зв’язку 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966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967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969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із числа окремих категорій громадян, які отримають санаторно-курортне оздоровлення та реабілітаційні послуги за рахунок державного бюджету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111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</w:tr>
            <w:tr w:rsidR="00EF5C5A" w:rsidTr="00AB7EBD">
              <w:trPr>
                <w:trHeight w:val="659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одиниць технічних та інших засобів реабілітації, якими будуть забезпечені особи з інвалідністю та інші громадяни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одиниць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Витрати на безоплатне поховання осіб з інвалідністю внаслідок війни та учасників бойових дій  за рахунок обласного  бюджету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26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ветеранів війни, яким буде зроблено капітальний ремонт житла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 дітей та громадян пільгових категорій, які будуть поздоровлені святковими  подарунками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дітей, які будуть направлені  в дитячі заклади оздоровлення та відпочинку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дітей-сиріт, дітей позбавлених батьківського піклування  та осіб з їх числа, яким буде виплачена компенсація за рахунок субвенції з державного бюджету за  належні для отримання житлові приміщення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</w:tr>
            <w:tr w:rsidR="00EF5C5A" w:rsidTr="00AB7EBD">
              <w:trPr>
                <w:trHeight w:val="659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 w:rsidR="00087E8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будівель під реконструкцію для створення соціального центру у форматі «Прозорий офіс»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будівель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EF5C5A" w:rsidTr="00AB7EBD">
              <w:trPr>
                <w:trHeight w:val="310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ефективності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фінансової підтримки  за рахунок  державного та обласного бюджету,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 1 раз на рік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1372,9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1646,3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1959,9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2335,2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додаткової матеріальної допомоги  за рахунок бюджету Бахмутської  міської ОТГ,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1 раз на рік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953,7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1107,5</w:t>
                  </w:r>
                </w:p>
              </w:tc>
              <w:tc>
                <w:tcPr>
                  <w:tcW w:w="1134" w:type="dxa"/>
                </w:tcPr>
                <w:p w:rsidR="00EF5C5A" w:rsidRDefault="00324FCD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1361</w:t>
                  </w:r>
                  <w:r w:rsidR="00EF5C5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324FCD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1467</w:t>
                  </w:r>
                  <w:r w:rsidR="00EF5C5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,4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компенсаційних виплат та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допомог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, передбачених діючим законодавством, за рахунок державного та обласного бюджетів,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 щомісячно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1188,2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1263,6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1348,0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1417,8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компенсаційних виплат та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допомог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, передбачених діючим законодавством, за  рахунок Бахмутської  міської ОТГ,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2396,8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3060,95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3157,5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3297,6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 витрат  на пільговий проїзд окремих категорій громадян,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987,5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1701,8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1885,6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2085,6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пільги, передбаченої діючим законодавством, на житлово-комунальні послуги та послуги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язку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за рахунок державного та обласного бюджетів, грн..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щомісячно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262,5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495,3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551,7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602.3</w:t>
                  </w:r>
                </w:p>
              </w:tc>
            </w:tr>
            <w:tr w:rsidR="00EF5C5A" w:rsidTr="00AB7EBD">
              <w:trPr>
                <w:trHeight w:val="982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додаткової знижки на оплату за житлово-комунальні послуги та послуги зв’язку,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397,3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506,9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582,02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644,2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санаторно-курортне оздоровлення окремих категорій громадян та на надання реабілітаційних послуг особам з інвалідністю, грн..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6822,0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10435,9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12337,2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14569,6</w:t>
                  </w:r>
                </w:p>
              </w:tc>
            </w:tr>
            <w:tr w:rsidR="00EF5C5A" w:rsidTr="00AB7EBD">
              <w:trPr>
                <w:trHeight w:val="401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вартість виготовлення одиниці технічного та іншого  виробу реабілітації,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 одиниця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3310,5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3630,4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3734,2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3764,1</w:t>
                  </w:r>
                </w:p>
              </w:tc>
            </w:tr>
            <w:tr w:rsidR="00EF5C5A" w:rsidTr="00AB7EBD">
              <w:trPr>
                <w:trHeight w:val="47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безоплатне поховання осіб з інвалідністю внаслідок війни та учасників бойових дій за рахунок обласного бюджету, грн.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особа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3833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4543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4937,5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5234,4</w:t>
                  </w:r>
                </w:p>
              </w:tc>
            </w:tr>
            <w:tr w:rsidR="00EF5C5A" w:rsidTr="00AB7EBD">
              <w:trPr>
                <w:trHeight w:val="47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проведення капітального ремонту житла ветеранам війни,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приміщення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42433,3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63100,0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69666,7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76666,7</w:t>
                  </w:r>
                </w:p>
              </w:tc>
            </w:tr>
            <w:tr w:rsidR="00EF5C5A" w:rsidTr="00AB7EBD">
              <w:trPr>
                <w:trHeight w:val="30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витрата на поздоровлення дітей та громадян пільгових категорій, грн.</w:t>
                  </w:r>
                </w:p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261,1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305,7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328,5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338,2</w:t>
                  </w:r>
                </w:p>
              </w:tc>
            </w:tr>
            <w:tr w:rsidR="00EF5C5A" w:rsidTr="00AB7EBD">
              <w:trPr>
                <w:trHeight w:val="126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Розмір грошової компенсації за рахунок субвенції з державного бюджету за  належні для отримання житлові приміщення дітям-сиротам, дітям, позбавленим батьківського піклування та особам з їх числа, тис.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385,8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510,3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510,3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600,0</w:t>
                  </w:r>
                </w:p>
              </w:tc>
            </w:tr>
            <w:tr w:rsidR="00EF5C5A" w:rsidTr="00AB7EBD">
              <w:trPr>
                <w:trHeight w:val="273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IV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Показники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якост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</w:t>
                  </w:r>
                </w:p>
              </w:tc>
            </w:tr>
            <w:tr w:rsidR="00EF5C5A" w:rsidTr="00AB7EBD">
              <w:trPr>
                <w:trHeight w:val="52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Рівень забезпечення  фінансової  підтримки  окремих категорій громадян  за рахунок Державного та обласного бюджету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101,7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103,1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Рівень забезпечення додаткової  фінансової  підтримки  окремих категорій громадян 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117,2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118,7</w:t>
                  </w:r>
                </w:p>
              </w:tc>
              <w:tc>
                <w:tcPr>
                  <w:tcW w:w="1134" w:type="dxa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120,3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324FCD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123,2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Рівень  забезпечення  додаткових  пільг на житлово-комунальні послуги окремим категоріям громадян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Покращення стану здоров я окремих категорій громадян шляхом санаторно-курортного оздоровлення та реабілітації  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Покращення стану здоров’я дітей в дитячих закладах оздоровлення та відпочинку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113,8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118,8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125</w:t>
                  </w:r>
                </w:p>
              </w:tc>
            </w:tr>
            <w:tr w:rsidR="00EF5C5A" w:rsidTr="00AB7EBD">
              <w:trPr>
                <w:trHeight w:val="41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Реалізація права на пільговий  проїзд  окремих категорій громадян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8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Організація святкових заходів, вшанування ветеранів, поздоровлення дітей пільгових категорій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25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Сприяння у забезпеченні житлом дітей-сиріт, дітей, позбавлених батьківського піклування та осіб  з їх числа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</w:tbl>
          <w:p w:rsidR="00EF5C5A" w:rsidRPr="00DE337D" w:rsidRDefault="00EF5C5A" w:rsidP="00EF5C5A">
            <w:pPr>
              <w:spacing w:line="218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Додат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ок 2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Показники результативності Програми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до </w:t>
            </w:r>
            <w:r w:rsidRPr="00DE337D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  <w:lang w:val="uk-UA"/>
              </w:rPr>
              <w:t>Комплексної програми по соціальному захисту окремих категорій громадян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 на 2019-2022 роки, затвердженої рішенням Бахмутської міської ради від 28.11.2018 №6/123-2363,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із внесеними до неї змінами</w:t>
            </w:r>
            <w:r w:rsidR="00DF211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,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підготовлено Управлінням праці та соціального захисту населення  Бахмутської міської ради </w:t>
            </w:r>
          </w:p>
          <w:p w:rsidR="00EF5C5A" w:rsidRPr="00DE337D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Начальник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Управління праці та соціального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І.В.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Сподіна</w:t>
            </w:r>
            <w:proofErr w:type="spellEnd"/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</w:t>
            </w:r>
          </w:p>
          <w:p w:rsidR="00EF5C5A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захисту населення Бахмутської міської ради   </w:t>
            </w:r>
          </w:p>
          <w:p w:rsidR="00EF5C5A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  <w:t xml:space="preserve">     </w:t>
            </w:r>
          </w:p>
          <w:p w:rsidR="00EF5C5A" w:rsidRPr="00DE337D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CC5543" w:rsidRPr="00115957" w:rsidRDefault="00EF5C5A" w:rsidP="002C0BB4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Секретар Бахмутської міської ради     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С.І.</w:t>
            </w:r>
            <w:proofErr w:type="spellStart"/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Кіщенко</w:t>
            </w:r>
            <w:proofErr w:type="spellEnd"/>
          </w:p>
        </w:tc>
      </w:tr>
    </w:tbl>
    <w:p w:rsidR="008E6F04" w:rsidRDefault="008E6F04" w:rsidP="007E113B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  <w:sectPr w:rsidR="008E6F04" w:rsidSect="000257C9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jc w:val="right"/>
        <w:tblLook w:val="00A0"/>
      </w:tblPr>
      <w:tblGrid>
        <w:gridCol w:w="3367"/>
      </w:tblGrid>
      <w:tr w:rsidR="008E6F04" w:rsidRPr="00115957" w:rsidTr="008E6F04">
        <w:trPr>
          <w:jc w:val="right"/>
        </w:trPr>
        <w:tc>
          <w:tcPr>
            <w:tcW w:w="3367" w:type="dxa"/>
          </w:tcPr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Додаток 3 </w:t>
            </w:r>
          </w:p>
          <w:p w:rsidR="00DF2116" w:rsidRDefault="008E6F04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 Комплексної програми по соціальному захисту окреми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х категорій громадян</w:t>
            </w: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на 2019- 2022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роки, затвердженої рішенням Бахмутської міської ради 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</w:p>
          <w:p w:rsidR="008E6F04" w:rsidRDefault="00975A75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від </w:t>
            </w:r>
            <w:r w:rsidR="008E6F04"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28.11.2018 №6/123-2363</w:t>
            </w:r>
            <w:r w:rsid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,</w:t>
            </w:r>
          </w:p>
          <w:p w:rsidR="00DF2116" w:rsidRPr="00115957" w:rsidRDefault="00DF2116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із змінами</w:t>
            </w:r>
          </w:p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</w:t>
            </w: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Додаток 3</w:t>
            </w: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у  редакції рішення</w:t>
            </w: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Бахмутської міської ради</w:t>
            </w:r>
          </w:p>
          <w:p w:rsidR="008E6F04" w:rsidRPr="00115957" w:rsidRDefault="00EF16FA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21.04</w:t>
            </w:r>
            <w:r w:rsidR="00EF3A32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.2020 №6/</w:t>
            </w:r>
            <w:r w:rsidR="00A8115A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141-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2970</w:t>
            </w:r>
            <w:r w:rsidR="00EF3A32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="008E6F04" w:rsidRPr="00115957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)</w:t>
            </w:r>
          </w:p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</w:tr>
    </w:tbl>
    <w:p w:rsidR="008E6F04" w:rsidRDefault="008E6F04" w:rsidP="008E6F0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РЕСУРСНЕ  ЗАБЕЗПЕЧЕННЯ  ПРОГРАМИ</w:t>
      </w:r>
    </w:p>
    <w:p w:rsidR="008E6F04" w:rsidRPr="00EA4A10" w:rsidRDefault="008E6F04" w:rsidP="008E6F0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(</w:t>
      </w:r>
      <w:proofErr w:type="spellStart"/>
      <w:r w:rsidRPr="00EA4A1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A4A1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276"/>
        <w:gridCol w:w="1276"/>
        <w:gridCol w:w="1417"/>
        <w:gridCol w:w="1559"/>
        <w:gridCol w:w="1560"/>
      </w:tblGrid>
      <w:tr w:rsidR="008E6F04" w:rsidRPr="00115957" w:rsidTr="008E6F04">
        <w:trPr>
          <w:trHeight w:val="204"/>
        </w:trPr>
        <w:tc>
          <w:tcPr>
            <w:tcW w:w="2518" w:type="dxa"/>
            <w:vMerge w:val="restart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Всього </w:t>
            </w:r>
          </w:p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витрат на виконання програми</w:t>
            </w:r>
          </w:p>
        </w:tc>
      </w:tr>
      <w:tr w:rsidR="008E6F04" w:rsidRPr="00115957" w:rsidTr="008E6F04">
        <w:trPr>
          <w:trHeight w:val="366"/>
        </w:trPr>
        <w:tc>
          <w:tcPr>
            <w:tcW w:w="2518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</w:t>
            </w: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8E6F04" w:rsidRPr="00115957" w:rsidTr="008E6F04">
        <w:trPr>
          <w:trHeight w:val="431"/>
        </w:trPr>
        <w:tc>
          <w:tcPr>
            <w:tcW w:w="2518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8E6F04" w:rsidRPr="00EF3A32" w:rsidTr="008E6F04">
        <w:trPr>
          <w:trHeight w:val="1192"/>
        </w:trPr>
        <w:tc>
          <w:tcPr>
            <w:tcW w:w="2518" w:type="dxa"/>
          </w:tcPr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 ресурсів</w:t>
            </w:r>
          </w:p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всього,</w:t>
            </w:r>
          </w:p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462183,6</w:t>
            </w:r>
          </w:p>
        </w:tc>
        <w:tc>
          <w:tcPr>
            <w:tcW w:w="1276" w:type="dxa"/>
          </w:tcPr>
          <w:p w:rsidR="008E6F04" w:rsidRPr="000257C9" w:rsidRDefault="00EF3A32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49887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9,6</w:t>
            </w:r>
          </w:p>
        </w:tc>
        <w:tc>
          <w:tcPr>
            <w:tcW w:w="1417" w:type="dxa"/>
          </w:tcPr>
          <w:p w:rsidR="008E6F04" w:rsidRPr="000257C9" w:rsidRDefault="00EF3A32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52394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2,5</w:t>
            </w:r>
          </w:p>
        </w:tc>
        <w:tc>
          <w:tcPr>
            <w:tcW w:w="1559" w:type="dxa"/>
          </w:tcPr>
          <w:p w:rsidR="008E6F04" w:rsidRPr="000257C9" w:rsidRDefault="00EF3A32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56227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1,1</w:t>
            </w:r>
          </w:p>
        </w:tc>
        <w:tc>
          <w:tcPr>
            <w:tcW w:w="1560" w:type="dxa"/>
          </w:tcPr>
          <w:p w:rsidR="008E6F04" w:rsidRPr="000257C9" w:rsidRDefault="00EF3A32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204727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6,8</w:t>
            </w:r>
          </w:p>
        </w:tc>
      </w:tr>
      <w:tr w:rsidR="008E6F04" w:rsidRPr="00EF3A32" w:rsidTr="008E6F04">
        <w:trPr>
          <w:trHeight w:val="605"/>
        </w:trPr>
        <w:tc>
          <w:tcPr>
            <w:tcW w:w="2518" w:type="dxa"/>
          </w:tcPr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389779,1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431714,7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465952,6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498349,7</w:t>
            </w:r>
          </w:p>
        </w:tc>
        <w:tc>
          <w:tcPr>
            <w:tcW w:w="1560" w:type="dxa"/>
          </w:tcPr>
          <w:p w:rsidR="008E6F04" w:rsidRPr="000257C9" w:rsidRDefault="008E6F04" w:rsidP="008E6F0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1785796,1</w:t>
            </w:r>
          </w:p>
        </w:tc>
      </w:tr>
      <w:tr w:rsidR="008E6F04" w:rsidRPr="00EF3A32" w:rsidTr="008E6F04">
        <w:trPr>
          <w:trHeight w:val="605"/>
        </w:trPr>
        <w:tc>
          <w:tcPr>
            <w:tcW w:w="2518" w:type="dxa"/>
          </w:tcPr>
          <w:p w:rsidR="008E6F04" w:rsidRPr="000257C9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35132,2</w:t>
            </w:r>
          </w:p>
        </w:tc>
        <w:tc>
          <w:tcPr>
            <w:tcW w:w="1276" w:type="dxa"/>
          </w:tcPr>
          <w:p w:rsidR="008E6F04" w:rsidRPr="000257C9" w:rsidRDefault="00EF3A32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11140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2921,0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3153,5</w:t>
            </w:r>
          </w:p>
        </w:tc>
        <w:tc>
          <w:tcPr>
            <w:tcW w:w="1560" w:type="dxa"/>
          </w:tcPr>
          <w:p w:rsidR="008E6F04" w:rsidRPr="000257C9" w:rsidRDefault="00EF3A32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52347,5</w:t>
            </w:r>
          </w:p>
        </w:tc>
      </w:tr>
      <w:tr w:rsidR="008E6F04" w:rsidRPr="00EF3A32" w:rsidTr="008E6F04">
        <w:trPr>
          <w:trHeight w:val="631"/>
        </w:trPr>
        <w:tc>
          <w:tcPr>
            <w:tcW w:w="2518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37229,8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60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37229,8</w:t>
            </w:r>
          </w:p>
        </w:tc>
      </w:tr>
      <w:tr w:rsidR="008E6F04" w:rsidRPr="00EF3A32" w:rsidTr="008E6F04">
        <w:trPr>
          <w:trHeight w:val="1472"/>
        </w:trPr>
        <w:tc>
          <w:tcPr>
            <w:tcW w:w="2518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бюджет </w:t>
            </w:r>
            <w:proofErr w:type="spellStart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Бахмутсь-кої</w:t>
            </w:r>
            <w:proofErr w:type="spellEnd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об</w:t>
            </w:r>
            <w:r w:rsidRPr="000257C9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proofErr w:type="spellStart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єд-наної</w:t>
            </w:r>
            <w:proofErr w:type="spellEnd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територіаль-ної</w:t>
            </w:r>
            <w:proofErr w:type="spellEnd"/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громади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55653,4</w:t>
            </w:r>
          </w:p>
        </w:tc>
        <w:tc>
          <w:tcPr>
            <w:tcW w:w="1417" w:type="dxa"/>
          </w:tcPr>
          <w:p w:rsidR="008E6F04" w:rsidRPr="000257C9" w:rsidRDefault="00EF3A32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5466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6,1</w:t>
            </w:r>
          </w:p>
        </w:tc>
        <w:tc>
          <w:tcPr>
            <w:tcW w:w="1559" w:type="dxa"/>
          </w:tcPr>
          <w:p w:rsidR="008E6F04" w:rsidRPr="000257C9" w:rsidRDefault="008E6F04" w:rsidP="00EF3A3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603</w:t>
            </w:r>
            <w:r w:rsidR="00EF3A32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2,3</w:t>
            </w:r>
          </w:p>
        </w:tc>
        <w:tc>
          <w:tcPr>
            <w:tcW w:w="1560" w:type="dxa"/>
          </w:tcPr>
          <w:p w:rsidR="008E6F04" w:rsidRPr="000257C9" w:rsidRDefault="00EF3A32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170651</w:t>
            </w:r>
            <w:r w:rsidR="008E6F04"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</w:t>
            </w:r>
          </w:p>
        </w:tc>
      </w:tr>
      <w:tr w:rsidR="008E6F04" w:rsidRPr="00EF3A32" w:rsidTr="008E6F04">
        <w:trPr>
          <w:trHeight w:val="70"/>
        </w:trPr>
        <w:tc>
          <w:tcPr>
            <w:tcW w:w="2518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інші кошти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42,5</w:t>
            </w:r>
          </w:p>
        </w:tc>
        <w:tc>
          <w:tcPr>
            <w:tcW w:w="1276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370,7</w:t>
            </w:r>
          </w:p>
        </w:tc>
        <w:tc>
          <w:tcPr>
            <w:tcW w:w="1417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402,8</w:t>
            </w:r>
          </w:p>
        </w:tc>
        <w:tc>
          <w:tcPr>
            <w:tcW w:w="1559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435,6</w:t>
            </w:r>
          </w:p>
        </w:tc>
        <w:tc>
          <w:tcPr>
            <w:tcW w:w="1560" w:type="dxa"/>
          </w:tcPr>
          <w:p w:rsidR="008E6F04" w:rsidRPr="000257C9" w:rsidRDefault="008E6F04" w:rsidP="008E6F0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7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1251,6</w:t>
            </w:r>
          </w:p>
        </w:tc>
      </w:tr>
    </w:tbl>
    <w:p w:rsidR="008E6F04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Додаток 3 «Ресурсне забезпечення Програми»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до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>Комплексної програми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 по соціальному захисту окремих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категорій громадян </w:t>
      </w:r>
      <w:r w:rsidR="00DF2116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 2019-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2022 </w:t>
      </w:r>
      <w:r w:rsidR="00DF2116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роки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 затвердженої рішенням Бахмутської міської ради від 28.11.2018</w:t>
      </w:r>
      <w:r w:rsidR="00E97EA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№6/123-2363</w:t>
      </w:r>
      <w:r w:rsidR="00EF3A3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(із  змінами)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підготовлено Управлінням праці та соціального захисту населення  Бахмутської міської ради </w:t>
      </w:r>
    </w:p>
    <w:p w:rsidR="008E6F04" w:rsidRPr="00DE337D" w:rsidRDefault="008E6F04" w:rsidP="00DF2116">
      <w:pPr>
        <w:pStyle w:val="a7"/>
        <w:spacing w:line="240" w:lineRule="atLeast"/>
        <w:rPr>
          <w:rFonts w:ascii="Times New Roman" w:hAnsi="Times New Roman" w:cs="Times New Roman"/>
          <w:sz w:val="20"/>
          <w:szCs w:val="20"/>
          <w:lang w:val="uk-UA"/>
        </w:rPr>
      </w:pPr>
    </w:p>
    <w:p w:rsidR="008E6F04" w:rsidRP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Начальник Управління праці                                                       І.В.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Сподіна</w:t>
      </w:r>
      <w:proofErr w:type="spellEnd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                       </w:t>
      </w:r>
    </w:p>
    <w:p w:rsidR="008E6F04" w:rsidRP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та соціального  захисту  населення                                     </w:t>
      </w:r>
    </w:p>
    <w:p w:rsid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Бахмутської міської ради         </w:t>
      </w:r>
    </w:p>
    <w:p w:rsidR="000257C9" w:rsidRDefault="000257C9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</w:p>
    <w:p w:rsidR="00CC5543" w:rsidRDefault="008E6F04" w:rsidP="000257C9">
      <w:pPr>
        <w:spacing w:after="0" w:line="240" w:lineRule="atLeast"/>
        <w:jc w:val="both"/>
        <w:rPr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Секретар Бахмутської міської ради                                              С.І.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Кіщенко</w:t>
      </w:r>
      <w:proofErr w:type="spellEnd"/>
    </w:p>
    <w:sectPr w:rsidR="00CC5543" w:rsidSect="000257C9">
      <w:headerReference w:type="default" r:id="rId10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488" w:rsidRDefault="00E93488" w:rsidP="00B812DF">
      <w:pPr>
        <w:spacing w:after="0" w:line="240" w:lineRule="auto"/>
      </w:pPr>
      <w:r>
        <w:separator/>
      </w:r>
    </w:p>
  </w:endnote>
  <w:endnote w:type="continuationSeparator" w:id="1">
    <w:p w:rsidR="00E93488" w:rsidRDefault="00E93488" w:rsidP="00B8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488" w:rsidRDefault="00E93488" w:rsidP="00B812DF">
      <w:pPr>
        <w:spacing w:after="0" w:line="240" w:lineRule="auto"/>
      </w:pPr>
      <w:r>
        <w:separator/>
      </w:r>
    </w:p>
  </w:footnote>
  <w:footnote w:type="continuationSeparator" w:id="1">
    <w:p w:rsidR="00E93488" w:rsidRDefault="00E93488" w:rsidP="00B8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88" w:rsidRDefault="00431A89">
    <w:pPr>
      <w:pStyle w:val="a5"/>
      <w:jc w:val="center"/>
    </w:pPr>
    <w:fldSimple w:instr=" PAGE   \* MERGEFORMAT ">
      <w:r w:rsidR="0094097D">
        <w:rPr>
          <w:noProof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88" w:rsidRDefault="00E93488" w:rsidP="00F37943">
    <w:pPr>
      <w:pStyle w:val="a5"/>
      <w:framePr w:wrap="auto" w:vAnchor="text" w:hAnchor="margin" w:xAlign="center" w:y="1"/>
      <w:rPr>
        <w:rStyle w:val="ab"/>
      </w:rPr>
    </w:pPr>
  </w:p>
  <w:p w:rsidR="00E93488" w:rsidRDefault="00E93488">
    <w:pPr>
      <w:pStyle w:val="a5"/>
      <w:jc w:val="center"/>
    </w:pPr>
  </w:p>
  <w:p w:rsidR="00E93488" w:rsidRDefault="00E934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857"/>
    <w:multiLevelType w:val="multilevel"/>
    <w:tmpl w:val="B6AEE7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1BF24709"/>
    <w:multiLevelType w:val="hybridMultilevel"/>
    <w:tmpl w:val="38964D02"/>
    <w:lvl w:ilvl="0" w:tplc="F160969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551E5"/>
    <w:multiLevelType w:val="hybridMultilevel"/>
    <w:tmpl w:val="4DE00F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B1FC3"/>
    <w:multiLevelType w:val="multilevel"/>
    <w:tmpl w:val="88E8AAC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4">
    <w:nsid w:val="56EE1E53"/>
    <w:multiLevelType w:val="hybridMultilevel"/>
    <w:tmpl w:val="631A5D3A"/>
    <w:lvl w:ilvl="0" w:tplc="E1586D48">
      <w:start w:val="5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C574CD3"/>
    <w:multiLevelType w:val="hybridMultilevel"/>
    <w:tmpl w:val="7A8E1F46"/>
    <w:lvl w:ilvl="0" w:tplc="AA9A7A4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24191A"/>
    <w:multiLevelType w:val="hybridMultilevel"/>
    <w:tmpl w:val="82F80CF4"/>
    <w:lvl w:ilvl="0" w:tplc="6C50DC4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B1237"/>
    <w:multiLevelType w:val="hybridMultilevel"/>
    <w:tmpl w:val="BBA06CA2"/>
    <w:lvl w:ilvl="0" w:tplc="8AA6A0BC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E04"/>
    <w:rsid w:val="00011B35"/>
    <w:rsid w:val="00013606"/>
    <w:rsid w:val="000257C9"/>
    <w:rsid w:val="0002683A"/>
    <w:rsid w:val="00026C97"/>
    <w:rsid w:val="00037648"/>
    <w:rsid w:val="000444F7"/>
    <w:rsid w:val="00061330"/>
    <w:rsid w:val="00087E81"/>
    <w:rsid w:val="000C294F"/>
    <w:rsid w:val="00115957"/>
    <w:rsid w:val="00116956"/>
    <w:rsid w:val="0013778D"/>
    <w:rsid w:val="0016099A"/>
    <w:rsid w:val="00167B8E"/>
    <w:rsid w:val="001716B5"/>
    <w:rsid w:val="001D0B98"/>
    <w:rsid w:val="001D289D"/>
    <w:rsid w:val="001D4078"/>
    <w:rsid w:val="00204FCC"/>
    <w:rsid w:val="00222468"/>
    <w:rsid w:val="002326CE"/>
    <w:rsid w:val="0026559E"/>
    <w:rsid w:val="0027182C"/>
    <w:rsid w:val="0027408E"/>
    <w:rsid w:val="00275749"/>
    <w:rsid w:val="002952B8"/>
    <w:rsid w:val="002A1C47"/>
    <w:rsid w:val="002B2CEC"/>
    <w:rsid w:val="002C0BB4"/>
    <w:rsid w:val="002D7F56"/>
    <w:rsid w:val="002F196B"/>
    <w:rsid w:val="00324FCD"/>
    <w:rsid w:val="00332338"/>
    <w:rsid w:val="0034237E"/>
    <w:rsid w:val="0038687C"/>
    <w:rsid w:val="003879D3"/>
    <w:rsid w:val="00387FE5"/>
    <w:rsid w:val="00394819"/>
    <w:rsid w:val="003B3FBA"/>
    <w:rsid w:val="003F29AF"/>
    <w:rsid w:val="003F7279"/>
    <w:rsid w:val="0040688F"/>
    <w:rsid w:val="00406DC8"/>
    <w:rsid w:val="00414C5A"/>
    <w:rsid w:val="00420B29"/>
    <w:rsid w:val="004226A4"/>
    <w:rsid w:val="00431A89"/>
    <w:rsid w:val="004343D3"/>
    <w:rsid w:val="00443DA5"/>
    <w:rsid w:val="00457BB1"/>
    <w:rsid w:val="00482B92"/>
    <w:rsid w:val="00503917"/>
    <w:rsid w:val="00505840"/>
    <w:rsid w:val="00514C98"/>
    <w:rsid w:val="00523C4B"/>
    <w:rsid w:val="005445A5"/>
    <w:rsid w:val="005455D5"/>
    <w:rsid w:val="005507C7"/>
    <w:rsid w:val="005533FE"/>
    <w:rsid w:val="0055379A"/>
    <w:rsid w:val="005A50F2"/>
    <w:rsid w:val="005E68AC"/>
    <w:rsid w:val="005F4474"/>
    <w:rsid w:val="005F6875"/>
    <w:rsid w:val="00654508"/>
    <w:rsid w:val="006569EC"/>
    <w:rsid w:val="006801C1"/>
    <w:rsid w:val="00684E0E"/>
    <w:rsid w:val="006879C1"/>
    <w:rsid w:val="006F040E"/>
    <w:rsid w:val="00716E2E"/>
    <w:rsid w:val="00724CF0"/>
    <w:rsid w:val="007344E6"/>
    <w:rsid w:val="007519D4"/>
    <w:rsid w:val="00777CE3"/>
    <w:rsid w:val="00785531"/>
    <w:rsid w:val="007A763C"/>
    <w:rsid w:val="007D19B4"/>
    <w:rsid w:val="007E113B"/>
    <w:rsid w:val="007F5191"/>
    <w:rsid w:val="008026F4"/>
    <w:rsid w:val="0080760D"/>
    <w:rsid w:val="00826D87"/>
    <w:rsid w:val="008434AD"/>
    <w:rsid w:val="00852994"/>
    <w:rsid w:val="00865D62"/>
    <w:rsid w:val="008968A6"/>
    <w:rsid w:val="008C3297"/>
    <w:rsid w:val="008E652B"/>
    <w:rsid w:val="008E6F04"/>
    <w:rsid w:val="00915C2A"/>
    <w:rsid w:val="00917091"/>
    <w:rsid w:val="00933879"/>
    <w:rsid w:val="00936637"/>
    <w:rsid w:val="00940931"/>
    <w:rsid w:val="0094097D"/>
    <w:rsid w:val="0097343B"/>
    <w:rsid w:val="00975A75"/>
    <w:rsid w:val="009A0EF3"/>
    <w:rsid w:val="009B3789"/>
    <w:rsid w:val="009C01CC"/>
    <w:rsid w:val="009C6F87"/>
    <w:rsid w:val="009E7E04"/>
    <w:rsid w:val="00A22D41"/>
    <w:rsid w:val="00A3072C"/>
    <w:rsid w:val="00A8115A"/>
    <w:rsid w:val="00A82A9C"/>
    <w:rsid w:val="00A90E16"/>
    <w:rsid w:val="00A915D2"/>
    <w:rsid w:val="00AB6012"/>
    <w:rsid w:val="00AB7EBD"/>
    <w:rsid w:val="00B07913"/>
    <w:rsid w:val="00B24CD5"/>
    <w:rsid w:val="00B46AA4"/>
    <w:rsid w:val="00B522E2"/>
    <w:rsid w:val="00B60B9F"/>
    <w:rsid w:val="00B66B92"/>
    <w:rsid w:val="00B70E2D"/>
    <w:rsid w:val="00B812DF"/>
    <w:rsid w:val="00B861A2"/>
    <w:rsid w:val="00B92936"/>
    <w:rsid w:val="00BD4CFF"/>
    <w:rsid w:val="00BD5C2E"/>
    <w:rsid w:val="00BD6D68"/>
    <w:rsid w:val="00BE3234"/>
    <w:rsid w:val="00C07478"/>
    <w:rsid w:val="00C175C4"/>
    <w:rsid w:val="00C26AFF"/>
    <w:rsid w:val="00C32E4E"/>
    <w:rsid w:val="00C57493"/>
    <w:rsid w:val="00C83811"/>
    <w:rsid w:val="00CC2F0F"/>
    <w:rsid w:val="00CC5543"/>
    <w:rsid w:val="00D05EA4"/>
    <w:rsid w:val="00D41AB5"/>
    <w:rsid w:val="00D72520"/>
    <w:rsid w:val="00DB4A57"/>
    <w:rsid w:val="00DC3D3A"/>
    <w:rsid w:val="00DD54B3"/>
    <w:rsid w:val="00DD6C8D"/>
    <w:rsid w:val="00DE337D"/>
    <w:rsid w:val="00DF2116"/>
    <w:rsid w:val="00DF356C"/>
    <w:rsid w:val="00DF60C5"/>
    <w:rsid w:val="00DF6A73"/>
    <w:rsid w:val="00E2185D"/>
    <w:rsid w:val="00E415A9"/>
    <w:rsid w:val="00E424A1"/>
    <w:rsid w:val="00E71765"/>
    <w:rsid w:val="00E91078"/>
    <w:rsid w:val="00E93488"/>
    <w:rsid w:val="00E97EAE"/>
    <w:rsid w:val="00EA3558"/>
    <w:rsid w:val="00EA4A10"/>
    <w:rsid w:val="00EB0D16"/>
    <w:rsid w:val="00EB1101"/>
    <w:rsid w:val="00EC1638"/>
    <w:rsid w:val="00EC5369"/>
    <w:rsid w:val="00EE2CBB"/>
    <w:rsid w:val="00EF16FA"/>
    <w:rsid w:val="00EF3A32"/>
    <w:rsid w:val="00EF5C5A"/>
    <w:rsid w:val="00F248DD"/>
    <w:rsid w:val="00F32EA2"/>
    <w:rsid w:val="00F37943"/>
    <w:rsid w:val="00F732DF"/>
    <w:rsid w:val="00F9000E"/>
    <w:rsid w:val="00F9244B"/>
    <w:rsid w:val="00FB79C5"/>
    <w:rsid w:val="00FE22F4"/>
    <w:rsid w:val="00FE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DF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9E7E0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E7E04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9E7E04"/>
    <w:pPr>
      <w:ind w:left="720"/>
    </w:pPr>
    <w:rPr>
      <w:lang w:eastAsia="en-US"/>
    </w:rPr>
  </w:style>
  <w:style w:type="paragraph" w:styleId="a4">
    <w:name w:val="Normal (Web)"/>
    <w:basedOn w:val="a"/>
    <w:uiPriority w:val="99"/>
    <w:rsid w:val="009E7E04"/>
    <w:pPr>
      <w:spacing w:before="100" w:beforeAutospacing="1" w:after="100" w:afterAutospacing="1" w:line="240" w:lineRule="auto"/>
    </w:pPr>
    <w:rPr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9E7E0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9E7E04"/>
    <w:rPr>
      <w:rFonts w:ascii="Calibri" w:hAnsi="Calibri" w:cs="Calibri"/>
      <w:sz w:val="24"/>
      <w:szCs w:val="24"/>
    </w:rPr>
  </w:style>
  <w:style w:type="paragraph" w:styleId="a7">
    <w:name w:val="No Spacing"/>
    <w:link w:val="a8"/>
    <w:uiPriority w:val="99"/>
    <w:qFormat/>
    <w:rsid w:val="009E7E04"/>
    <w:rPr>
      <w:rFonts w:cs="Calibri"/>
      <w:sz w:val="22"/>
      <w:szCs w:val="22"/>
    </w:rPr>
  </w:style>
  <w:style w:type="paragraph" w:styleId="a9">
    <w:name w:val="Body Text Indent"/>
    <w:basedOn w:val="a"/>
    <w:link w:val="aa"/>
    <w:uiPriority w:val="99"/>
    <w:semiHidden/>
    <w:rsid w:val="009E7E0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E7E04"/>
    <w:rPr>
      <w:rFonts w:ascii="Calibri" w:hAnsi="Calibri" w:cs="Calibri"/>
    </w:rPr>
  </w:style>
  <w:style w:type="character" w:styleId="ab">
    <w:name w:val="page number"/>
    <w:basedOn w:val="a0"/>
    <w:uiPriority w:val="99"/>
    <w:rsid w:val="009E7E04"/>
  </w:style>
  <w:style w:type="character" w:customStyle="1" w:styleId="a8">
    <w:name w:val="Без интервала Знак"/>
    <w:basedOn w:val="a0"/>
    <w:link w:val="a7"/>
    <w:uiPriority w:val="99"/>
    <w:locked/>
    <w:rsid w:val="009E7E04"/>
    <w:rPr>
      <w:rFonts w:cs="Calibri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9E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E7E04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semiHidden/>
    <w:unhideWhenUsed/>
    <w:rsid w:val="00B522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522E2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14107-E39A-447A-99F5-461C4B6E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8</Pages>
  <Words>1715</Words>
  <Characters>11661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13350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61</cp:revision>
  <cp:lastPrinted>2020-04-21T14:06:00Z</cp:lastPrinted>
  <dcterms:created xsi:type="dcterms:W3CDTF">2019-09-13T13:34:00Z</dcterms:created>
  <dcterms:modified xsi:type="dcterms:W3CDTF">2020-04-21T14:10:00Z</dcterms:modified>
</cp:coreProperties>
</file>