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622814" w14:textId="77777777" w:rsidR="008924B0" w:rsidRDefault="0084736D" w:rsidP="008473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</w:t>
      </w:r>
    </w:p>
    <w:p w14:paraId="41A83C8A" w14:textId="77777777" w:rsidR="008924B0" w:rsidRDefault="008924B0" w:rsidP="008924B0">
      <w:pPr>
        <w:pStyle w:val="3"/>
        <w:ind w:left="0" w:right="-5"/>
        <w:jc w:val="center"/>
        <w:rPr>
          <w:lang w:val="en-US"/>
        </w:rPr>
      </w:pPr>
      <w:r>
        <w:rPr>
          <w:noProof/>
          <w:lang w:eastAsia="uk-UA"/>
        </w:rPr>
        <w:drawing>
          <wp:inline distT="0" distB="0" distL="0" distR="0" wp14:anchorId="01C3E7DC" wp14:editId="53A298CB">
            <wp:extent cx="432435" cy="605790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E275997" w14:textId="77777777" w:rsidR="008924B0" w:rsidRDefault="008924B0" w:rsidP="008924B0">
      <w:pPr>
        <w:rPr>
          <w:sz w:val="28"/>
          <w:lang w:val="en-US"/>
        </w:rPr>
      </w:pPr>
    </w:p>
    <w:p w14:paraId="76A4DF6D" w14:textId="77777777" w:rsidR="008924B0" w:rsidRDefault="008924B0" w:rsidP="008924B0">
      <w:pPr>
        <w:pStyle w:val="1"/>
        <w:ind w:left="0" w:right="-5"/>
        <w:jc w:val="center"/>
        <w:rPr>
          <w:sz w:val="36"/>
        </w:rPr>
      </w:pPr>
      <w:r>
        <w:rPr>
          <w:sz w:val="36"/>
        </w:rPr>
        <w:t>У К Р А Ї Н А</w:t>
      </w:r>
    </w:p>
    <w:p w14:paraId="2E1C5641" w14:textId="77777777" w:rsidR="008924B0" w:rsidRDefault="008924B0" w:rsidP="008924B0">
      <w:pPr>
        <w:jc w:val="center"/>
        <w:rPr>
          <w:sz w:val="28"/>
        </w:rPr>
      </w:pPr>
    </w:p>
    <w:p w14:paraId="1025C69F" w14:textId="77777777" w:rsidR="008924B0" w:rsidRDefault="008924B0" w:rsidP="008924B0">
      <w:pPr>
        <w:pStyle w:val="2"/>
        <w:jc w:val="center"/>
        <w:rPr>
          <w:sz w:val="36"/>
        </w:rPr>
      </w:pPr>
      <w:r>
        <w:rPr>
          <w:sz w:val="36"/>
          <w:lang w:val="uk-UA"/>
        </w:rPr>
        <w:t>Б а х м у т с ь к а</w:t>
      </w:r>
      <w:r>
        <w:rPr>
          <w:sz w:val="36"/>
        </w:rPr>
        <w:t xml:space="preserve">    м і с ь к а      р а д а</w:t>
      </w:r>
    </w:p>
    <w:p w14:paraId="14416E6C" w14:textId="77777777" w:rsidR="008924B0" w:rsidRDefault="008924B0" w:rsidP="008924B0">
      <w:pPr>
        <w:jc w:val="center"/>
        <w:rPr>
          <w:sz w:val="28"/>
        </w:rPr>
      </w:pPr>
    </w:p>
    <w:p w14:paraId="2D35E29A" w14:textId="77777777" w:rsidR="008924B0" w:rsidRDefault="008924B0" w:rsidP="008924B0">
      <w:pPr>
        <w:jc w:val="center"/>
        <w:rPr>
          <w:b/>
          <w:sz w:val="44"/>
        </w:rPr>
      </w:pPr>
      <w:r>
        <w:rPr>
          <w:b/>
          <w:sz w:val="44"/>
        </w:rPr>
        <w:t>ВИКОНАВЧИЙ   КОМІТЕТ</w:t>
      </w:r>
    </w:p>
    <w:p w14:paraId="0742FEB9" w14:textId="77777777" w:rsidR="008924B0" w:rsidRDefault="008924B0" w:rsidP="008924B0">
      <w:pPr>
        <w:jc w:val="center"/>
        <w:rPr>
          <w:b/>
          <w:sz w:val="28"/>
        </w:rPr>
      </w:pPr>
    </w:p>
    <w:p w14:paraId="3032AB57" w14:textId="77777777" w:rsidR="008924B0" w:rsidRDefault="008924B0" w:rsidP="008924B0">
      <w:pPr>
        <w:jc w:val="center"/>
        <w:rPr>
          <w:b/>
          <w:sz w:val="48"/>
        </w:rPr>
      </w:pPr>
      <w:r>
        <w:rPr>
          <w:b/>
          <w:sz w:val="48"/>
        </w:rPr>
        <w:t xml:space="preserve">Р І Ш Е Н </w:t>
      </w:r>
      <w:proofErr w:type="spellStart"/>
      <w:r>
        <w:rPr>
          <w:b/>
          <w:sz w:val="48"/>
        </w:rPr>
        <w:t>Н</w:t>
      </w:r>
      <w:proofErr w:type="spellEnd"/>
      <w:r>
        <w:rPr>
          <w:b/>
          <w:sz w:val="48"/>
        </w:rPr>
        <w:t xml:space="preserve"> Я</w:t>
      </w:r>
    </w:p>
    <w:p w14:paraId="22E401EC" w14:textId="77777777" w:rsidR="008924B0" w:rsidRDefault="008924B0" w:rsidP="008924B0">
      <w:pPr>
        <w:jc w:val="center"/>
        <w:rPr>
          <w:b/>
          <w:sz w:val="48"/>
          <w:lang w:val="uk-UA"/>
        </w:rPr>
      </w:pPr>
    </w:p>
    <w:p w14:paraId="202A81FE" w14:textId="721E591A" w:rsidR="008924B0" w:rsidRDefault="00664259" w:rsidP="008924B0">
      <w:pPr>
        <w:ind w:right="-1050"/>
        <w:jc w:val="both"/>
        <w:rPr>
          <w:sz w:val="28"/>
          <w:lang w:val="uk-UA"/>
        </w:rPr>
      </w:pPr>
      <w:r>
        <w:rPr>
          <w:sz w:val="28"/>
          <w:lang w:val="uk-UA"/>
        </w:rPr>
        <w:t>10.06.</w:t>
      </w:r>
      <w:r w:rsidR="008924B0">
        <w:rPr>
          <w:sz w:val="28"/>
          <w:lang w:val="uk-UA"/>
        </w:rPr>
        <w:t xml:space="preserve">2020 № </w:t>
      </w:r>
      <w:r>
        <w:rPr>
          <w:sz w:val="28"/>
          <w:lang w:val="uk-UA"/>
        </w:rPr>
        <w:t>137</w:t>
      </w:r>
    </w:p>
    <w:p w14:paraId="19C9BD26" w14:textId="77777777" w:rsidR="008924B0" w:rsidRDefault="008924B0" w:rsidP="008924B0">
      <w:pPr>
        <w:ind w:right="-1050"/>
        <w:jc w:val="both"/>
        <w:rPr>
          <w:sz w:val="28"/>
          <w:lang w:val="uk-UA"/>
        </w:rPr>
      </w:pPr>
      <w:r>
        <w:rPr>
          <w:sz w:val="28"/>
          <w:lang w:val="uk-UA"/>
        </w:rPr>
        <w:t>м. Бахмут</w:t>
      </w:r>
    </w:p>
    <w:p w14:paraId="6B6A2668" w14:textId="77777777" w:rsidR="008924B0" w:rsidRDefault="008924B0" w:rsidP="008924B0">
      <w:pPr>
        <w:ind w:left="-709" w:right="-1050"/>
        <w:jc w:val="both"/>
        <w:rPr>
          <w:sz w:val="28"/>
          <w:lang w:val="uk-UA"/>
        </w:rPr>
      </w:pPr>
    </w:p>
    <w:p w14:paraId="6250482F" w14:textId="77777777" w:rsidR="008924B0" w:rsidRDefault="008924B0" w:rsidP="008924B0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 зняття з контролю </w:t>
      </w:r>
    </w:p>
    <w:p w14:paraId="3CEE1C33" w14:textId="77777777" w:rsidR="008924B0" w:rsidRDefault="008924B0" w:rsidP="008924B0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рішень виконкому Бахмутської</w:t>
      </w:r>
    </w:p>
    <w:p w14:paraId="15BCA44D" w14:textId="77777777" w:rsidR="008924B0" w:rsidRDefault="008924B0" w:rsidP="008924B0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міської ради</w:t>
      </w:r>
    </w:p>
    <w:p w14:paraId="00F7D44D" w14:textId="77777777" w:rsidR="008924B0" w:rsidRDefault="008924B0" w:rsidP="008924B0">
      <w:pPr>
        <w:jc w:val="both"/>
        <w:rPr>
          <w:b/>
          <w:sz w:val="28"/>
          <w:lang w:val="uk-UA"/>
        </w:rPr>
      </w:pPr>
    </w:p>
    <w:p w14:paraId="3E983589" w14:textId="77777777" w:rsidR="008924B0" w:rsidRDefault="008924B0" w:rsidP="008924B0">
      <w:pPr>
        <w:jc w:val="both"/>
        <w:rPr>
          <w:sz w:val="28"/>
          <w:lang w:val="uk-UA"/>
        </w:rPr>
      </w:pPr>
    </w:p>
    <w:p w14:paraId="704A9F03" w14:textId="77777777" w:rsidR="008924B0" w:rsidRDefault="008924B0" w:rsidP="008924B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З</w:t>
      </w:r>
      <w:r w:rsidRPr="005C6A3D">
        <w:rPr>
          <w:sz w:val="28"/>
          <w:lang w:val="uk-UA"/>
        </w:rPr>
        <w:t xml:space="preserve">гідно з планом роботи виконавчих органів Бахмутської  міської ради на  </w:t>
      </w:r>
      <w:r w:rsidRPr="00444EA7">
        <w:rPr>
          <w:sz w:val="28"/>
          <w:lang w:val="en-US"/>
        </w:rPr>
        <w:t>II</w:t>
      </w:r>
      <w:r w:rsidRPr="00444EA7">
        <w:rPr>
          <w:sz w:val="28"/>
          <w:lang w:val="uk-UA"/>
        </w:rPr>
        <w:t xml:space="preserve"> квартал 2020</w:t>
      </w:r>
      <w:r>
        <w:rPr>
          <w:sz w:val="28"/>
          <w:lang w:val="uk-UA"/>
        </w:rPr>
        <w:t xml:space="preserve"> року, затвердженим рішенням виконкому Бахмутської міської ради від </w:t>
      </w:r>
      <w:r w:rsidRPr="00444EA7">
        <w:rPr>
          <w:sz w:val="28"/>
          <w:lang w:val="uk-UA"/>
        </w:rPr>
        <w:t>11.03.2020  №56</w:t>
      </w:r>
      <w:r w:rsidRPr="005C6A3D">
        <w:rPr>
          <w:sz w:val="28"/>
          <w:lang w:val="uk-UA"/>
        </w:rPr>
        <w:t>,</w:t>
      </w:r>
      <w:r>
        <w:rPr>
          <w:sz w:val="28"/>
          <w:szCs w:val="28"/>
          <w:lang w:val="uk-UA"/>
        </w:rPr>
        <w:t xml:space="preserve"> з  метою забезпечення  ефективної роботи щодо стану  виконавської дисципліни, та упорядкування  контрольних документів, керуючись ст.ст. 38</w:t>
      </w:r>
      <w:r>
        <w:rPr>
          <w:sz w:val="28"/>
          <w:lang w:val="uk-UA"/>
        </w:rPr>
        <w:t>, 52, 59 Закону України від 21.05.97 № 280/97 – ВР „Про місцеве самоврядування в Україні”, виконком Бахмутської міської ради</w:t>
      </w:r>
    </w:p>
    <w:p w14:paraId="79C31E03" w14:textId="77777777" w:rsidR="008924B0" w:rsidRDefault="008924B0" w:rsidP="008924B0">
      <w:pPr>
        <w:jc w:val="both"/>
        <w:rPr>
          <w:sz w:val="28"/>
          <w:lang w:val="uk-UA"/>
        </w:rPr>
      </w:pPr>
    </w:p>
    <w:p w14:paraId="4D6356E5" w14:textId="77777777" w:rsidR="008924B0" w:rsidRPr="003B2917" w:rsidRDefault="008924B0" w:rsidP="008924B0">
      <w:pPr>
        <w:jc w:val="both"/>
        <w:rPr>
          <w:sz w:val="28"/>
          <w:szCs w:val="28"/>
          <w:lang w:val="uk-UA"/>
        </w:rPr>
      </w:pPr>
    </w:p>
    <w:p w14:paraId="77096821" w14:textId="77777777" w:rsidR="008924B0" w:rsidRDefault="008924B0" w:rsidP="008924B0">
      <w:pPr>
        <w:tabs>
          <w:tab w:val="left" w:pos="6160"/>
        </w:tabs>
        <w:ind w:right="-1050" w:firstLine="720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В :</w:t>
      </w:r>
      <w:r>
        <w:rPr>
          <w:b/>
          <w:sz w:val="28"/>
          <w:lang w:val="uk-UA"/>
        </w:rPr>
        <w:tab/>
      </w:r>
    </w:p>
    <w:p w14:paraId="3EECAB21" w14:textId="77777777" w:rsidR="008924B0" w:rsidRDefault="008924B0" w:rsidP="008924B0">
      <w:pPr>
        <w:ind w:right="-1050"/>
        <w:rPr>
          <w:b/>
          <w:sz w:val="28"/>
          <w:lang w:val="uk-UA"/>
        </w:rPr>
      </w:pPr>
    </w:p>
    <w:p w14:paraId="186DF59F" w14:textId="77777777" w:rsidR="008924B0" w:rsidRDefault="008924B0" w:rsidP="008924B0">
      <w:pPr>
        <w:ind w:right="-5"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Зняти  з  контролю, як виконані,  рішення  виконкому  Бахмутської міської  ради   згідно з переліком (додається). </w:t>
      </w:r>
    </w:p>
    <w:p w14:paraId="4D748610" w14:textId="77777777" w:rsidR="008924B0" w:rsidRDefault="008924B0" w:rsidP="008924B0">
      <w:pPr>
        <w:ind w:right="-5"/>
        <w:rPr>
          <w:sz w:val="28"/>
          <w:lang w:val="uk-UA"/>
        </w:rPr>
      </w:pPr>
    </w:p>
    <w:p w14:paraId="0A480196" w14:textId="77777777" w:rsidR="008924B0" w:rsidRDefault="008924B0" w:rsidP="008924B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</w:t>
      </w:r>
    </w:p>
    <w:p w14:paraId="07718EF1" w14:textId="77777777" w:rsidR="008924B0" w:rsidRDefault="008924B0" w:rsidP="008924B0">
      <w:pPr>
        <w:rPr>
          <w:b/>
          <w:sz w:val="28"/>
          <w:szCs w:val="28"/>
          <w:lang w:val="uk-UA"/>
        </w:rPr>
      </w:pPr>
    </w:p>
    <w:p w14:paraId="2A8576EA" w14:textId="77777777" w:rsidR="008924B0" w:rsidRDefault="008924B0" w:rsidP="008924B0">
      <w:pPr>
        <w:rPr>
          <w:b/>
          <w:sz w:val="28"/>
          <w:szCs w:val="28"/>
          <w:highlight w:val="yellow"/>
          <w:lang w:val="uk-UA"/>
        </w:rPr>
      </w:pPr>
    </w:p>
    <w:p w14:paraId="5D2FADCC" w14:textId="77777777" w:rsidR="008924B0" w:rsidRDefault="008924B0" w:rsidP="008924B0">
      <w:pPr>
        <w:rPr>
          <w:lang w:val="uk-UA"/>
        </w:rPr>
      </w:pPr>
      <w:r>
        <w:rPr>
          <w:b/>
          <w:sz w:val="28"/>
          <w:szCs w:val="28"/>
          <w:lang w:val="uk-UA"/>
        </w:rPr>
        <w:t xml:space="preserve">             Міський голова                                                О.О. РЕВА</w:t>
      </w:r>
    </w:p>
    <w:p w14:paraId="092B4D32" w14:textId="77777777" w:rsidR="008924B0" w:rsidRDefault="008924B0" w:rsidP="008924B0">
      <w:pPr>
        <w:rPr>
          <w:lang w:val="uk-UA"/>
        </w:rPr>
      </w:pPr>
    </w:p>
    <w:p w14:paraId="5D3D21B9" w14:textId="77777777" w:rsidR="008924B0" w:rsidRDefault="008924B0" w:rsidP="008924B0">
      <w:pPr>
        <w:rPr>
          <w:lang w:val="uk-UA"/>
        </w:rPr>
      </w:pPr>
    </w:p>
    <w:p w14:paraId="0D4396A5" w14:textId="77777777" w:rsidR="008924B0" w:rsidRDefault="008924B0" w:rsidP="008924B0">
      <w:pPr>
        <w:rPr>
          <w:lang w:val="uk-UA"/>
        </w:rPr>
      </w:pPr>
    </w:p>
    <w:p w14:paraId="74F6E2A6" w14:textId="77777777" w:rsidR="008924B0" w:rsidRDefault="008924B0" w:rsidP="008924B0">
      <w:pPr>
        <w:rPr>
          <w:lang w:val="uk-UA"/>
        </w:rPr>
      </w:pPr>
    </w:p>
    <w:p w14:paraId="3E61E8AD" w14:textId="77777777" w:rsidR="008924B0" w:rsidRDefault="008924B0" w:rsidP="008924B0">
      <w:pPr>
        <w:rPr>
          <w:lang w:val="uk-UA"/>
        </w:rPr>
      </w:pPr>
    </w:p>
    <w:p w14:paraId="4D27FDC1" w14:textId="77777777" w:rsidR="008924B0" w:rsidRDefault="008924B0" w:rsidP="0084736D">
      <w:pPr>
        <w:rPr>
          <w:sz w:val="28"/>
          <w:szCs w:val="28"/>
          <w:lang w:val="uk-UA"/>
        </w:rPr>
      </w:pPr>
    </w:p>
    <w:p w14:paraId="123EA4D7" w14:textId="77777777" w:rsidR="00F82201" w:rsidRDefault="00F82201" w:rsidP="00F822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Додаток                                                                                                                                  </w:t>
      </w:r>
    </w:p>
    <w:p w14:paraId="084689C6" w14:textId="77777777" w:rsidR="00F82201" w:rsidRDefault="00F82201" w:rsidP="00F822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до рішення виконкому</w:t>
      </w:r>
    </w:p>
    <w:p w14:paraId="15203737" w14:textId="77777777" w:rsidR="00F82201" w:rsidRDefault="00F82201" w:rsidP="00F822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Бахмутської  міської ради                                                                                                                                        </w:t>
      </w:r>
    </w:p>
    <w:p w14:paraId="0FF2FAFF" w14:textId="2AD00D89" w:rsidR="00F82201" w:rsidRDefault="00F82201" w:rsidP="00F822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664259">
        <w:rPr>
          <w:sz w:val="28"/>
          <w:szCs w:val="28"/>
          <w:lang w:val="uk-UA"/>
        </w:rPr>
        <w:t>10.</w:t>
      </w:r>
      <w:r>
        <w:rPr>
          <w:sz w:val="28"/>
          <w:szCs w:val="28"/>
          <w:lang w:val="uk-UA"/>
        </w:rPr>
        <w:t xml:space="preserve">06.2020 № </w:t>
      </w:r>
      <w:r w:rsidR="00664259">
        <w:rPr>
          <w:sz w:val="28"/>
          <w:szCs w:val="28"/>
          <w:lang w:val="uk-UA"/>
        </w:rPr>
        <w:t>137</w:t>
      </w:r>
      <w:bookmarkStart w:id="0" w:name="_GoBack"/>
      <w:bookmarkEnd w:id="0"/>
    </w:p>
    <w:p w14:paraId="7793BD15" w14:textId="77777777" w:rsidR="00F82201" w:rsidRDefault="00F82201" w:rsidP="00F82201">
      <w:pPr>
        <w:rPr>
          <w:sz w:val="28"/>
          <w:szCs w:val="28"/>
          <w:lang w:val="uk-UA"/>
        </w:rPr>
      </w:pPr>
    </w:p>
    <w:p w14:paraId="79C9D486" w14:textId="77777777" w:rsidR="00F82201" w:rsidRDefault="00F82201" w:rsidP="00F8220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ПЕРЕЛІК</w:t>
      </w:r>
    </w:p>
    <w:p w14:paraId="4EEB094C" w14:textId="77777777" w:rsidR="00F82201" w:rsidRDefault="00F82201" w:rsidP="00F82201">
      <w:pPr>
        <w:tabs>
          <w:tab w:val="left" w:pos="90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рішень виконкому Бахмутської міської ради, які знімаються з контролю, як виконані</w:t>
      </w:r>
    </w:p>
    <w:p w14:paraId="29D082C0" w14:textId="77777777" w:rsidR="00F82201" w:rsidRDefault="00F82201" w:rsidP="00F82201">
      <w:pPr>
        <w:tabs>
          <w:tab w:val="left" w:pos="900"/>
        </w:tabs>
        <w:jc w:val="center"/>
        <w:rPr>
          <w:sz w:val="28"/>
          <w:szCs w:val="28"/>
          <w:lang w:val="uk-UA"/>
        </w:rPr>
      </w:pP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9"/>
        <w:gridCol w:w="1522"/>
        <w:gridCol w:w="7294"/>
      </w:tblGrid>
      <w:tr w:rsidR="00F82201" w14:paraId="747D89D3" w14:textId="77777777" w:rsidTr="00BC6E5B">
        <w:tc>
          <w:tcPr>
            <w:tcW w:w="82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3F34C6EF" w14:textId="77777777" w:rsidR="00F82201" w:rsidRDefault="00F82201" w:rsidP="00BC6E5B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</w:p>
          <w:p w14:paraId="66C087BA" w14:textId="77777777" w:rsidR="00F82201" w:rsidRDefault="00F82201" w:rsidP="00BC6E5B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№</w:t>
            </w:r>
          </w:p>
          <w:p w14:paraId="0323E0A9" w14:textId="77777777" w:rsidR="00F82201" w:rsidRDefault="00F82201" w:rsidP="00BC6E5B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з/п</w:t>
            </w:r>
          </w:p>
        </w:tc>
        <w:tc>
          <w:tcPr>
            <w:tcW w:w="152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14:paraId="126E7110" w14:textId="77777777" w:rsidR="00F82201" w:rsidRDefault="00F82201" w:rsidP="00BC6E5B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 xml:space="preserve">Номер і дата рішення виконкому </w:t>
            </w:r>
          </w:p>
        </w:tc>
        <w:tc>
          <w:tcPr>
            <w:tcW w:w="729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31F43919" w14:textId="77777777" w:rsidR="00F82201" w:rsidRDefault="00F82201" w:rsidP="00BC6E5B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</w:p>
          <w:p w14:paraId="013F4D1A" w14:textId="77777777" w:rsidR="00F82201" w:rsidRDefault="00F82201" w:rsidP="00BC6E5B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Назва рішення виконкому</w:t>
            </w:r>
          </w:p>
        </w:tc>
      </w:tr>
      <w:tr w:rsidR="00F82201" w:rsidRPr="00664259" w14:paraId="77F7218F" w14:textId="77777777" w:rsidTr="00BC6E5B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D6A61" w14:textId="77777777" w:rsidR="00F82201" w:rsidRDefault="00F82201" w:rsidP="00F8220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6BA84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№42</w:t>
            </w:r>
          </w:p>
          <w:p w14:paraId="29AE4B65" w14:textId="77777777" w:rsidR="00F82201" w:rsidRPr="00FF3AE6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11.02.2015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F3BD5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надання малолітній </w:t>
            </w:r>
            <w:r w:rsidRPr="0084736D">
              <w:rPr>
                <w:color w:val="000000"/>
                <w:sz w:val="28"/>
                <w:szCs w:val="28"/>
                <w:lang w:val="uk-UA" w:eastAsia="en-US"/>
              </w:rPr>
              <w:t>дитині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(містить персональні дані про осіб (п.3 ч.2 ст. 10 ЗУ «Про доступ до публічної інформації))</w:t>
            </w:r>
            <w:r w:rsidRPr="0084736D">
              <w:rPr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 xml:space="preserve">статусу дитини, позбавленої батьківського піклування </w:t>
            </w:r>
          </w:p>
        </w:tc>
      </w:tr>
      <w:tr w:rsidR="00F82201" w:rsidRPr="001F00F8" w14:paraId="4575A959" w14:textId="77777777" w:rsidTr="00BC6E5B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F5A37" w14:textId="77777777" w:rsidR="00F82201" w:rsidRDefault="00F82201" w:rsidP="00F8220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4E624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№43</w:t>
            </w:r>
          </w:p>
          <w:p w14:paraId="43BDDE13" w14:textId="77777777" w:rsidR="00F82201" w:rsidRPr="00FF3AE6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11.02.2015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D676D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призначення (містить персональні дані про осіб (п.3 ч.2 ст. 10 ЗУ «Про доступ до публічної інформації))</w:t>
            </w:r>
            <w:r w:rsidRPr="0084736D">
              <w:rPr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опікуном над малолітньою дитиною (містить персональні дані про осіб (п.3 ч.2 ст. 10 ЗУ «Про доступ до публічної інформації))</w:t>
            </w:r>
          </w:p>
        </w:tc>
      </w:tr>
      <w:tr w:rsidR="00F82201" w:rsidRPr="001F00F8" w14:paraId="38443113" w14:textId="77777777" w:rsidTr="00BC6E5B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E929F" w14:textId="77777777" w:rsidR="00F82201" w:rsidRDefault="00F82201" w:rsidP="00F8220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BCF0D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№81</w:t>
            </w:r>
          </w:p>
          <w:p w14:paraId="2CC31824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10.04.2019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1DE91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проект Міської програми «Платникам податків – сприятливі умови» на 2019 рік</w:t>
            </w:r>
          </w:p>
        </w:tc>
      </w:tr>
      <w:tr w:rsidR="00F82201" w:rsidRPr="001F00F8" w14:paraId="36E222FF" w14:textId="77777777" w:rsidTr="00BC6E5B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B7BEC" w14:textId="77777777" w:rsidR="00F82201" w:rsidRDefault="00F82201" w:rsidP="00F8220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DD44A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№88</w:t>
            </w:r>
          </w:p>
          <w:p w14:paraId="087606A2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13.04.2016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92FF9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затвердження нового складу комітету з визначення на конкурсних засадах робочого органу з підготовки матеріалів для забезпечення проведення конкурсів з перевезення пасажирів на міських автобусних маршрутах загального користування у м. Бахмуті та Умов конкурсу</w:t>
            </w:r>
          </w:p>
        </w:tc>
      </w:tr>
      <w:tr w:rsidR="00F82201" w:rsidRPr="00FF3AE6" w14:paraId="0347A814" w14:textId="77777777" w:rsidTr="00BC6E5B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56BAD" w14:textId="77777777" w:rsidR="00F82201" w:rsidRDefault="00F82201" w:rsidP="00F8220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099EB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№269</w:t>
            </w:r>
          </w:p>
          <w:p w14:paraId="387DD6EA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12.12.2018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AA34D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результати перевірок стану правової роботи в окремих виконавчих органах Бахмутської міської ради</w:t>
            </w:r>
          </w:p>
        </w:tc>
      </w:tr>
      <w:tr w:rsidR="00F82201" w:rsidRPr="00FF3AE6" w14:paraId="4122B055" w14:textId="77777777" w:rsidTr="00BC6E5B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B857" w14:textId="77777777" w:rsidR="00F82201" w:rsidRDefault="00F82201" w:rsidP="00F8220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7E0D7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№117</w:t>
            </w:r>
          </w:p>
          <w:p w14:paraId="78B94CA1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15.05.2019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DA2FD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внесення змін в існуючу нумерацію у забудові м. Бахмут і присвоєння окремих адрес об’єктам нерухомого майна</w:t>
            </w:r>
          </w:p>
        </w:tc>
      </w:tr>
      <w:tr w:rsidR="00F82201" w:rsidRPr="00664259" w14:paraId="14FF7BB5" w14:textId="77777777" w:rsidTr="00BC6E5B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806C" w14:textId="77777777" w:rsidR="00F82201" w:rsidRDefault="00F82201" w:rsidP="00F8220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29D61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№222</w:t>
            </w:r>
          </w:p>
          <w:p w14:paraId="4C8C6CAD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11.09.2019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20BE7" w14:textId="77777777" w:rsidR="00F82201" w:rsidRDefault="00F82201" w:rsidP="00BC6E5B">
            <w:pPr>
              <w:ind w:left="59" w:hanging="59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надання дозволу (містить персональні дані про осіб (п.3 ч.2 ст. 10 ЗУ «Про доступ до публічної інформації))</w:t>
            </w:r>
            <w:r w:rsidRPr="0084736D">
              <w:rPr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на укладання договору купівлі-продажу  будинку, в якому мешкає малолітня дитина (містить персональні дані про осіб (п.3 ч.2 ст. 10 ЗУ «Про доступ до публічної інформації))</w:t>
            </w:r>
            <w:r w:rsidRPr="0084736D">
              <w:rPr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року народження</w:t>
            </w:r>
          </w:p>
        </w:tc>
      </w:tr>
      <w:tr w:rsidR="00F82201" w:rsidRPr="00664259" w14:paraId="0D4C9E6F" w14:textId="77777777" w:rsidTr="00BC6E5B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799D" w14:textId="77777777" w:rsidR="00F82201" w:rsidRDefault="00F82201" w:rsidP="00F8220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B51FA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№242</w:t>
            </w:r>
          </w:p>
          <w:p w14:paraId="2784CAC6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09.10.2019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3D770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надання дозволу (містить персональні дані про осіб (п.3 ч.2 ст. 10 ЗУ «Про доступ до публічної інформації))</w:t>
            </w:r>
            <w:r w:rsidRPr="0084736D">
              <w:rPr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на укладання договору купівлі-продажу квартири від імені малолітньої дитини (містить персональні дані про осіб (п.3 </w:t>
            </w:r>
            <w:r>
              <w:rPr>
                <w:color w:val="000000"/>
                <w:sz w:val="28"/>
                <w:szCs w:val="28"/>
                <w:lang w:val="uk-UA" w:eastAsia="en-US"/>
              </w:rPr>
              <w:lastRenderedPageBreak/>
              <w:t xml:space="preserve">ч.2 ст. 10 ЗУ «Про доступ до публічної інформації)) року народження </w:t>
            </w:r>
          </w:p>
        </w:tc>
      </w:tr>
      <w:tr w:rsidR="00F82201" w:rsidRPr="002E0EE2" w14:paraId="439218D0" w14:textId="77777777" w:rsidTr="00BC6E5B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CB62" w14:textId="77777777" w:rsidR="00F82201" w:rsidRDefault="00F82201" w:rsidP="00F8220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55E3F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№243</w:t>
            </w:r>
          </w:p>
          <w:p w14:paraId="3E4D6317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09.10.2019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F38C8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надання дозволу неповнолітній дитині (містить персональні дані про осіб (п.3 ч.2 ст. 10 ЗУ «Про доступ до публічної інформації))</w:t>
            </w:r>
            <w:r w:rsidRPr="0084736D">
              <w:rPr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року народження, на укладання договору купівлі-продажу будинку</w:t>
            </w:r>
          </w:p>
        </w:tc>
      </w:tr>
      <w:tr w:rsidR="00F82201" w:rsidRPr="00664259" w14:paraId="25EEE2A9" w14:textId="77777777" w:rsidTr="00BC6E5B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BA54" w14:textId="77777777" w:rsidR="00F82201" w:rsidRDefault="00F82201" w:rsidP="00F8220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F0F64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№259</w:t>
            </w:r>
          </w:p>
          <w:p w14:paraId="498E583A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07.11.2019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B8E4C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затвердження протоколу від 30.10.2019 №2 комісії виконавчого комітету Бахмутської міської ради з питань формування пропозицій стосовно потреби щодо спрямування та освоєння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</w:t>
            </w:r>
          </w:p>
        </w:tc>
      </w:tr>
      <w:tr w:rsidR="00F82201" w:rsidRPr="00664259" w14:paraId="4040E737" w14:textId="77777777" w:rsidTr="00BC6E5B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A3A58" w14:textId="77777777" w:rsidR="00F82201" w:rsidRDefault="00F82201" w:rsidP="00F8220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D30B6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№261</w:t>
            </w:r>
          </w:p>
          <w:p w14:paraId="4EE2A1CA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13.11.2019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59CE5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затвердження заходів щодо забезпечення соціального захисту громадян, які мешкають на території Бахмутської міської об’єднаної територіальної громади, в осінньо-зимовий період 2019-2020 років</w:t>
            </w:r>
          </w:p>
        </w:tc>
      </w:tr>
      <w:tr w:rsidR="00F82201" w:rsidRPr="00A67D36" w14:paraId="3D055B34" w14:textId="77777777" w:rsidTr="00BC6E5B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03A6" w14:textId="77777777" w:rsidR="00F82201" w:rsidRDefault="00F82201" w:rsidP="00F8220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FA28A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№262</w:t>
            </w:r>
          </w:p>
          <w:p w14:paraId="236B5A8E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13.11.2019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DCBEE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стан виконавської дисципліни в Управлінні освіти Бахмутської міської ради</w:t>
            </w:r>
          </w:p>
        </w:tc>
      </w:tr>
      <w:tr w:rsidR="00F82201" w:rsidRPr="00B807FA" w14:paraId="3B6B2E72" w14:textId="77777777" w:rsidTr="00BC6E5B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8A965" w14:textId="77777777" w:rsidR="00F82201" w:rsidRDefault="00F82201" w:rsidP="00F8220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73074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№270</w:t>
            </w:r>
          </w:p>
          <w:p w14:paraId="546AA4C9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13.11.2019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09A46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безоплатну передачу майна комунальної власності Бахмутської міської об’єднаної територіальної громади</w:t>
            </w:r>
          </w:p>
        </w:tc>
      </w:tr>
      <w:tr w:rsidR="00F82201" w:rsidRPr="00FF3AE6" w14:paraId="3C67A51F" w14:textId="77777777" w:rsidTr="00BC6E5B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19C0A" w14:textId="77777777" w:rsidR="00F82201" w:rsidRDefault="00F82201" w:rsidP="00F8220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BF030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№272</w:t>
            </w:r>
          </w:p>
          <w:p w14:paraId="53AA695B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13.11.2019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8B514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безоплатну передачу витрат з капітального ремонту об’єктів права комунальної власності територіальної громади м. Бахмут</w:t>
            </w:r>
          </w:p>
        </w:tc>
      </w:tr>
      <w:tr w:rsidR="00F82201" w:rsidRPr="00664259" w14:paraId="0A83DF40" w14:textId="77777777" w:rsidTr="00BC6E5B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5C78" w14:textId="77777777" w:rsidR="00F82201" w:rsidRDefault="00F82201" w:rsidP="00F8220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64901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№277</w:t>
            </w:r>
          </w:p>
          <w:p w14:paraId="21AB63F0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13.11.2019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5A6FC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надання дозволу (містить персональні дані про осіб (п.3 ч.2 ст. 10 ЗУ «Про доступ до публічної інформації))</w:t>
            </w:r>
            <w:r w:rsidRPr="0084736D">
              <w:rPr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на укладання договору купівлі-продажу 5/24 часток квартири від імені малолітньої дитини (містить персональні дані про осіб (п.3 ч.2 ст. 10 ЗУ «Про доступ до публічної інформації))</w:t>
            </w:r>
            <w:r w:rsidRPr="0084736D">
              <w:rPr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року народження</w:t>
            </w:r>
          </w:p>
        </w:tc>
      </w:tr>
      <w:tr w:rsidR="00F82201" w:rsidRPr="005A730F" w14:paraId="4BF86547" w14:textId="77777777" w:rsidTr="00BC6E5B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85B97" w14:textId="77777777" w:rsidR="00F82201" w:rsidRDefault="00F82201" w:rsidP="00F8220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E7251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№278</w:t>
            </w:r>
          </w:p>
          <w:p w14:paraId="2AF46BB0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13.11.2019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41361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надання дозволу неповнолітній дитині (містить персональні дані про осіб (п.3 ч.2 ст. 10 ЗУ «Про доступ до публічної інформації))</w:t>
            </w:r>
            <w:r w:rsidRPr="0084736D">
              <w:rPr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року народження, на укладання договору купівлі-продажу 5/24 часток квартири</w:t>
            </w:r>
          </w:p>
        </w:tc>
      </w:tr>
      <w:tr w:rsidR="00F82201" w:rsidRPr="00664259" w14:paraId="2C79C74C" w14:textId="77777777" w:rsidTr="00BC6E5B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2425" w14:textId="77777777" w:rsidR="00F82201" w:rsidRDefault="00F82201" w:rsidP="00F8220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160A1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№279</w:t>
            </w:r>
          </w:p>
          <w:p w14:paraId="5424DB60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13.11.2019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0D861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надання дозволу (містить персональні дані про осіб (п.3 ч.2 ст. 10 ЗУ «Про доступ до публічної інформації))</w:t>
            </w:r>
            <w:r w:rsidRPr="0084736D">
              <w:rPr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на укладання договору купівлі-продажу 1/8 частки нежитлового вбудованого приміщення від імені малолітньої дитини (містить персональні дані про осіб (п.3 ч.2 ст. 10 ЗУ «Про доступ до публічної інформації))</w:t>
            </w:r>
            <w:r w:rsidRPr="0084736D">
              <w:rPr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року народження</w:t>
            </w:r>
          </w:p>
        </w:tc>
      </w:tr>
      <w:tr w:rsidR="00F82201" w:rsidRPr="00664259" w14:paraId="59317739" w14:textId="77777777" w:rsidTr="00BC6E5B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F8214" w14:textId="77777777" w:rsidR="00F82201" w:rsidRDefault="00F82201" w:rsidP="00F8220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E2071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№280</w:t>
            </w:r>
          </w:p>
          <w:p w14:paraId="027F6D77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lastRenderedPageBreak/>
              <w:t>13.11.2019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71C9C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lastRenderedPageBreak/>
              <w:t xml:space="preserve">Про надання дозволу неповнолітній дитині (містить </w:t>
            </w:r>
            <w:r>
              <w:rPr>
                <w:color w:val="000000"/>
                <w:sz w:val="28"/>
                <w:szCs w:val="28"/>
                <w:lang w:val="uk-UA" w:eastAsia="en-US"/>
              </w:rPr>
              <w:lastRenderedPageBreak/>
              <w:t>персональні дані про осіб (п.3 ч.2 ст. 10 ЗУ «Про доступ до публічної інформації))</w:t>
            </w:r>
            <w:r w:rsidRPr="0084736D">
              <w:rPr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року народження, на укладання договору купівлі-продажу будинку та земельної ділянки</w:t>
            </w:r>
          </w:p>
        </w:tc>
      </w:tr>
      <w:tr w:rsidR="00F82201" w:rsidRPr="00F93C34" w14:paraId="320455F1" w14:textId="77777777" w:rsidTr="00BC6E5B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79B80" w14:textId="77777777" w:rsidR="00F82201" w:rsidRDefault="00F82201" w:rsidP="00F8220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55683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№281</w:t>
            </w:r>
          </w:p>
          <w:p w14:paraId="5A64D7B3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13.11.2019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3CE75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визнання рішення виконкому Бахмутської міської ради таким, що втратило чинність</w:t>
            </w:r>
          </w:p>
        </w:tc>
      </w:tr>
      <w:tr w:rsidR="00F82201" w:rsidRPr="00664259" w14:paraId="1E3DFA85" w14:textId="77777777" w:rsidTr="00BC6E5B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1C68E" w14:textId="77777777" w:rsidR="00F82201" w:rsidRDefault="00F82201" w:rsidP="00F8220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B24C8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№289</w:t>
            </w:r>
          </w:p>
          <w:p w14:paraId="438ED569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04.12.2019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E054B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затвердження протоколів від 25.11.2019 №3 від 28.11.2019 №4 комісії виконавчого комітету Бахмутської міської ради з питань формування пропозицій стосовно потреби щодо спрямування та освоєння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</w:t>
            </w:r>
          </w:p>
        </w:tc>
      </w:tr>
      <w:tr w:rsidR="00F82201" w:rsidRPr="00C81E8D" w14:paraId="3A54445B" w14:textId="77777777" w:rsidTr="00BC6E5B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85D9" w14:textId="77777777" w:rsidR="00F82201" w:rsidRDefault="00F82201" w:rsidP="00F8220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BC540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№291</w:t>
            </w:r>
          </w:p>
          <w:p w14:paraId="482B05E9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11.12.2019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E976F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проект Програми економічного і соціального розвитку території Бахмутської міської об’єднаної територіальної громади на 2020 рік</w:t>
            </w:r>
          </w:p>
        </w:tc>
      </w:tr>
      <w:tr w:rsidR="00F82201" w:rsidRPr="00C81E8D" w14:paraId="39BBE55F" w14:textId="77777777" w:rsidTr="00BC6E5B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F3864" w14:textId="77777777" w:rsidR="00F82201" w:rsidRDefault="00F82201" w:rsidP="00F8220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32C4C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en-US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298</w:t>
            </w:r>
          </w:p>
          <w:p w14:paraId="71B71C86" w14:textId="77777777" w:rsidR="00F82201" w:rsidRPr="00D37A1E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11.12.2019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E345F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результати перевірки стану правової роботи, у тому числі й стану ведення договірної, претензійної та позовної роботи в Управлінні розвитку міського господарства та капітального будівництва Бахмутської міської ради</w:t>
            </w:r>
          </w:p>
        </w:tc>
      </w:tr>
      <w:tr w:rsidR="00F82201" w:rsidRPr="00E23B3A" w14:paraId="1DD60E6A" w14:textId="77777777" w:rsidTr="00BC6E5B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4493" w14:textId="77777777" w:rsidR="00F82201" w:rsidRDefault="00F82201" w:rsidP="00F8220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2BE27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№301</w:t>
            </w:r>
          </w:p>
          <w:p w14:paraId="4725B6A8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11.12.2019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D38BB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затвердження Плану діяльності з підготовки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проєктів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регуляторних актів виконкому Бахмутської міської ради на 2020 рік</w:t>
            </w:r>
          </w:p>
        </w:tc>
      </w:tr>
      <w:tr w:rsidR="00F82201" w:rsidRPr="00E23B3A" w14:paraId="5FB6BAF4" w14:textId="77777777" w:rsidTr="00BC6E5B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3BFFD" w14:textId="77777777" w:rsidR="00F82201" w:rsidRDefault="00F82201" w:rsidP="00F8220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931B1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№308</w:t>
            </w:r>
          </w:p>
          <w:p w14:paraId="6A94128A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11.12.2019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81DA9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встановлення розміру внесків за обслуговування та заміну будинкових вузлів обліку для споживачів товариства з обмеженою відповідальністю «Бахмут-Енергія»</w:t>
            </w:r>
          </w:p>
        </w:tc>
      </w:tr>
      <w:tr w:rsidR="00F82201" w:rsidRPr="00E23B3A" w14:paraId="137118D4" w14:textId="77777777" w:rsidTr="00BC6E5B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F0553" w14:textId="77777777" w:rsidR="00F82201" w:rsidRDefault="00F82201" w:rsidP="00F8220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BFD19" w14:textId="77777777" w:rsidR="00F82201" w:rsidRPr="004145D0" w:rsidRDefault="00F82201" w:rsidP="00F82201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4145D0">
              <w:rPr>
                <w:color w:val="000000"/>
                <w:sz w:val="28"/>
                <w:szCs w:val="28"/>
                <w:lang w:val="uk-UA" w:eastAsia="en-US"/>
              </w:rPr>
              <w:t>№316</w:t>
            </w:r>
          </w:p>
          <w:p w14:paraId="4659678C" w14:textId="77777777" w:rsidR="00F82201" w:rsidRDefault="00F82201" w:rsidP="00F82201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11.12</w:t>
            </w:r>
            <w:r w:rsidRPr="004145D0">
              <w:rPr>
                <w:color w:val="000000"/>
                <w:sz w:val="28"/>
                <w:szCs w:val="28"/>
                <w:lang w:val="uk-UA" w:eastAsia="en-US"/>
              </w:rPr>
              <w:t>.201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64850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4145D0">
              <w:rPr>
                <w:color w:val="000000"/>
                <w:sz w:val="28"/>
                <w:szCs w:val="28"/>
                <w:lang w:val="uk-UA" w:eastAsia="en-US"/>
              </w:rPr>
              <w:t>Про продовження дії нормативів (норм) питного водопостачання та водовідведення для населення у м. Бахмут Донецької області</w:t>
            </w:r>
          </w:p>
        </w:tc>
      </w:tr>
      <w:tr w:rsidR="00F82201" w:rsidRPr="00E23B3A" w14:paraId="2102D9DC" w14:textId="77777777" w:rsidTr="00BC6E5B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248EA" w14:textId="77777777" w:rsidR="00F82201" w:rsidRDefault="00F82201" w:rsidP="00F8220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43949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№320</w:t>
            </w:r>
          </w:p>
          <w:p w14:paraId="4E567E29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11.12.2019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2C029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встановлення тарифів на послуги КОМУНАЛЬНОГО ПІДПРИЄМСТВА «БАХМУТЕЛЕКТРОТРАНС» з перевезення пасажирів і багажу у міському електротранспорті (тролейбусі) у м. Бахмут</w:t>
            </w:r>
          </w:p>
        </w:tc>
      </w:tr>
      <w:tr w:rsidR="00F82201" w:rsidRPr="00B807FA" w14:paraId="315B352F" w14:textId="77777777" w:rsidTr="00BC6E5B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C9528" w14:textId="77777777" w:rsidR="00F82201" w:rsidRDefault="00F82201" w:rsidP="00F8220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2D6E8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№322</w:t>
            </w:r>
          </w:p>
          <w:p w14:paraId="4F1B3EAC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11.12.2019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035C2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безоплатну передачу майна комунальної власності Бахмутської міської об’єднаної територіальної громади</w:t>
            </w:r>
          </w:p>
        </w:tc>
      </w:tr>
      <w:tr w:rsidR="00F82201" w:rsidRPr="00664259" w14:paraId="140BD62C" w14:textId="77777777" w:rsidTr="00BC6E5B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42085" w14:textId="77777777" w:rsidR="00F82201" w:rsidRDefault="00F82201" w:rsidP="00F8220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05CFF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№324</w:t>
            </w:r>
          </w:p>
          <w:p w14:paraId="086C4B7A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11.12.2019 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83A92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надання дозволу (містить персональні дані про осіб (п.3 ч.2 ст. 10 ЗУ «Про доступ до публічної інформації))</w:t>
            </w:r>
            <w:r w:rsidRPr="0084736D">
              <w:rPr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на укладання договору купівлі-продажу ½ частки жилого приміщення у гуртожитку від імені малолітньої дитини (містить персональні дані про осіб (п.3 ч.2 ст. 10 ЗУ «Про доступ до публічної інформації))</w:t>
            </w:r>
            <w:r w:rsidRPr="0084736D">
              <w:rPr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року народження</w:t>
            </w:r>
          </w:p>
        </w:tc>
      </w:tr>
      <w:tr w:rsidR="00F82201" w:rsidRPr="00B807FA" w14:paraId="0A3445C8" w14:textId="77777777" w:rsidTr="00BC6E5B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41560" w14:textId="77777777" w:rsidR="00F82201" w:rsidRDefault="00F82201" w:rsidP="00F8220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4D0F9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№341</w:t>
            </w:r>
          </w:p>
          <w:p w14:paraId="74E1DD23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18.12.2019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D6B26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схвалення Прогнозу бюджету Бахмутської міської об’єднаної територіальної громади на 2021-2022 роки</w:t>
            </w:r>
          </w:p>
        </w:tc>
      </w:tr>
      <w:tr w:rsidR="00F82201" w:rsidRPr="003C6BDF" w14:paraId="0AD145CB" w14:textId="77777777" w:rsidTr="00BC6E5B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CD3F" w14:textId="77777777" w:rsidR="00F82201" w:rsidRDefault="00F82201" w:rsidP="00F8220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F9737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№342</w:t>
            </w:r>
          </w:p>
          <w:p w14:paraId="47D91510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18.12.2019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9D8DB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безоплатну передачу витрат з реконструкції та капітального ремонту об’єктів права комунальної власності територіальної громади м. Бахмут</w:t>
            </w:r>
          </w:p>
        </w:tc>
      </w:tr>
      <w:tr w:rsidR="00F82201" w:rsidRPr="003C6BDF" w14:paraId="48E8473A" w14:textId="77777777" w:rsidTr="00BC6E5B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F3685" w14:textId="77777777" w:rsidR="00F82201" w:rsidRDefault="00F82201" w:rsidP="00F8220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B4184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№343</w:t>
            </w:r>
          </w:p>
          <w:p w14:paraId="2B5D3D72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18.12.2019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B05BF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безоплатну передачу майна комунальної власності Бахмутської міської об’єднаної територіальної громади  </w:t>
            </w:r>
          </w:p>
        </w:tc>
      </w:tr>
      <w:tr w:rsidR="00F82201" w:rsidRPr="003C6BDF" w14:paraId="505CD071" w14:textId="77777777" w:rsidTr="00BC6E5B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169EB" w14:textId="77777777" w:rsidR="00F82201" w:rsidRDefault="00F82201" w:rsidP="00F8220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91AC9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№1</w:t>
            </w:r>
          </w:p>
          <w:p w14:paraId="1E9576A0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15.01.2020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4974A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ухвалення проекту Програми покращення умов обслуговування платників податків на 2020 рік</w:t>
            </w:r>
          </w:p>
        </w:tc>
      </w:tr>
      <w:tr w:rsidR="00F82201" w:rsidRPr="003C6BDF" w14:paraId="2AC8E262" w14:textId="77777777" w:rsidTr="00BC6E5B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561BC" w14:textId="77777777" w:rsidR="00F82201" w:rsidRDefault="00F82201" w:rsidP="00F8220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3253E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№10</w:t>
            </w:r>
          </w:p>
          <w:p w14:paraId="4C687AFD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15.01.2020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30FFA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безоплатну передачу майна комунальної власності Бахмутської міської об’єднаної територіальної громади </w:t>
            </w:r>
          </w:p>
        </w:tc>
      </w:tr>
      <w:tr w:rsidR="00F82201" w:rsidRPr="003C6BDF" w14:paraId="30D4C625" w14:textId="77777777" w:rsidTr="00BC6E5B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870A" w14:textId="77777777" w:rsidR="00F82201" w:rsidRDefault="00F82201" w:rsidP="00F82201">
            <w:pPr>
              <w:numPr>
                <w:ilvl w:val="0"/>
                <w:numId w:val="2"/>
              </w:num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688BE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№30</w:t>
            </w:r>
          </w:p>
          <w:p w14:paraId="7D78891B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12.02.2020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0D7D5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підсумки роботи по розгляду звернень громадян у виконкомі Бахмутської міської ради у 2019 році</w:t>
            </w:r>
          </w:p>
        </w:tc>
      </w:tr>
      <w:tr w:rsidR="00F82201" w:rsidRPr="003C6BDF" w14:paraId="086C1F4D" w14:textId="77777777" w:rsidTr="00BC6E5B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24305" w14:textId="77777777" w:rsidR="00F82201" w:rsidRDefault="00F82201" w:rsidP="00F8220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1FEE4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№35</w:t>
            </w:r>
          </w:p>
          <w:p w14:paraId="0BEC5636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12.02.2020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3FFE1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безоплатну передачу майна комунальної власності Бахмутської міської об’єднаної територіальної громади</w:t>
            </w:r>
          </w:p>
        </w:tc>
      </w:tr>
      <w:tr w:rsidR="00F82201" w:rsidRPr="003C6BDF" w14:paraId="1F4B1898" w14:textId="77777777" w:rsidTr="00BC6E5B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9882B" w14:textId="77777777" w:rsidR="00F82201" w:rsidRDefault="00F82201" w:rsidP="00F8220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9A022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№48</w:t>
            </w:r>
          </w:p>
          <w:p w14:paraId="26B0E8E8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12.02.2020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3DABB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влаштування малолітньої дитини (містить персональні дані про осіб (п.3 ч.2 ст. 10 ЗУ «Про доступ до публічної інформації))</w:t>
            </w:r>
            <w:r w:rsidRPr="0084736D">
              <w:rPr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року народження, до комунальної установи охорони здоров</w:t>
            </w:r>
            <w:r w:rsidRPr="00017F8F">
              <w:rPr>
                <w:color w:val="000000"/>
                <w:sz w:val="28"/>
                <w:szCs w:val="28"/>
                <w:lang w:eastAsia="en-US"/>
              </w:rPr>
              <w:t>`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я «Краматорський будинок дитини «Антошка» на повне державне забезпечення</w:t>
            </w:r>
          </w:p>
        </w:tc>
      </w:tr>
      <w:tr w:rsidR="00F82201" w:rsidRPr="003C6BDF" w14:paraId="1B184889" w14:textId="77777777" w:rsidTr="00BC6E5B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3EFC" w14:textId="77777777" w:rsidR="00F82201" w:rsidRDefault="00F82201" w:rsidP="00F8220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C1321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№55</w:t>
            </w:r>
          </w:p>
          <w:p w14:paraId="0F669AB4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11.03.2020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9AA54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ухвалення Соціального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проєкту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розвитку території Бахмутської міської ОТГ на 2020 рік</w:t>
            </w:r>
          </w:p>
        </w:tc>
      </w:tr>
      <w:tr w:rsidR="00F82201" w:rsidRPr="003C6BDF" w14:paraId="49759AED" w14:textId="77777777" w:rsidTr="00BC6E5B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7887" w14:textId="77777777" w:rsidR="00F82201" w:rsidRDefault="00F82201" w:rsidP="00F8220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394D4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№73</w:t>
            </w:r>
          </w:p>
          <w:p w14:paraId="48817549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11.03.2020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D5D6B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безоплатну передачу майна комунальної власності Бахмутської міської об’єднаної територіальної громади</w:t>
            </w:r>
          </w:p>
        </w:tc>
      </w:tr>
      <w:tr w:rsidR="00F82201" w:rsidRPr="003C6BDF" w14:paraId="5B9F0974" w14:textId="77777777" w:rsidTr="00BC6E5B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53C2" w14:textId="77777777" w:rsidR="00F82201" w:rsidRDefault="00F82201" w:rsidP="00F8220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B1544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№77</w:t>
            </w:r>
          </w:p>
          <w:p w14:paraId="5FDB98BC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11.03.2020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F45A2" w14:textId="77777777" w:rsidR="00F82201" w:rsidRPr="00442652" w:rsidRDefault="00F82201" w:rsidP="00BC6E5B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безоплатну передачу витрат з реконструкції та капітального ремонту об</w:t>
            </w:r>
            <w:r w:rsidRPr="00442652">
              <w:rPr>
                <w:color w:val="000000"/>
                <w:sz w:val="28"/>
                <w:szCs w:val="28"/>
                <w:lang w:eastAsia="en-US"/>
              </w:rPr>
              <w:t>`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єктів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права комунальної власності територіальної громади м. Бахмут»</w:t>
            </w:r>
          </w:p>
        </w:tc>
      </w:tr>
      <w:tr w:rsidR="00F82201" w:rsidRPr="003C6BDF" w14:paraId="7106991B" w14:textId="77777777" w:rsidTr="00BC6E5B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8A6B" w14:textId="77777777" w:rsidR="00F82201" w:rsidRDefault="00F82201" w:rsidP="00F8220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D1E90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№115</w:t>
            </w:r>
          </w:p>
          <w:p w14:paraId="54EA3F2C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02.04.2020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6520D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безоплатну передачу майна комунальної власності Бахмутської міської об’єднаної територіальної громади</w:t>
            </w:r>
          </w:p>
        </w:tc>
      </w:tr>
      <w:tr w:rsidR="00F82201" w:rsidRPr="003C6BDF" w14:paraId="5A7BFB36" w14:textId="77777777" w:rsidTr="00BC6E5B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C9F97" w14:textId="77777777" w:rsidR="00F82201" w:rsidRDefault="00F82201" w:rsidP="00F8220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32438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№128</w:t>
            </w:r>
          </w:p>
          <w:p w14:paraId="79C1534E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14.04.2020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5C4CF" w14:textId="77777777" w:rsidR="00F82201" w:rsidRDefault="00F82201" w:rsidP="00BC6E5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ухвалення Стратегії розвитку Бахмутської міської об’єднаної територіальної громади на період до 2027 року</w:t>
            </w:r>
          </w:p>
        </w:tc>
      </w:tr>
    </w:tbl>
    <w:p w14:paraId="6161216E" w14:textId="77777777" w:rsidR="00F82201" w:rsidRDefault="00F82201" w:rsidP="00F82201">
      <w:pPr>
        <w:jc w:val="both"/>
        <w:rPr>
          <w:sz w:val="28"/>
          <w:szCs w:val="28"/>
          <w:lang w:val="uk-UA"/>
        </w:rPr>
      </w:pPr>
    </w:p>
    <w:p w14:paraId="664C587E" w14:textId="77777777" w:rsidR="00F82201" w:rsidRDefault="00F82201" w:rsidP="00F822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 рішень виконкому Бахмутської міської ради, які знімаються з контролю,  як виконані, складений відділом діловодства і контролю Бахмутської міської ради</w:t>
      </w:r>
    </w:p>
    <w:p w14:paraId="19EBCA52" w14:textId="77777777" w:rsidR="00F82201" w:rsidRDefault="00F82201" w:rsidP="00F82201">
      <w:pPr>
        <w:jc w:val="both"/>
        <w:rPr>
          <w:sz w:val="28"/>
          <w:szCs w:val="28"/>
          <w:lang w:val="uk-UA"/>
        </w:rPr>
      </w:pPr>
    </w:p>
    <w:p w14:paraId="05BD5886" w14:textId="77777777" w:rsidR="00F82201" w:rsidRDefault="00F82201" w:rsidP="00F822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 відділу діловодства і контролю</w:t>
      </w:r>
    </w:p>
    <w:p w14:paraId="4BF9D104" w14:textId="77777777" w:rsidR="00F82201" w:rsidRDefault="00F82201" w:rsidP="00F822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Бахмутської міської ради                                                   Н.І.Давиденко   </w:t>
      </w:r>
    </w:p>
    <w:p w14:paraId="49D4531B" w14:textId="77777777" w:rsidR="00F82201" w:rsidRDefault="00F82201" w:rsidP="00F822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</w:t>
      </w:r>
    </w:p>
    <w:p w14:paraId="718505AD" w14:textId="77777777" w:rsidR="00F82201" w:rsidRPr="00A67D36" w:rsidRDefault="00F82201" w:rsidP="00F82201">
      <w:pPr>
        <w:rPr>
          <w:sz w:val="28"/>
          <w:szCs w:val="28"/>
          <w:lang w:val="uk-UA"/>
        </w:rPr>
      </w:pPr>
      <w:r w:rsidRPr="00A67D36">
        <w:rPr>
          <w:sz w:val="28"/>
          <w:szCs w:val="28"/>
          <w:lang w:val="uk-UA"/>
        </w:rPr>
        <w:t xml:space="preserve">Керуючий справами виконкому </w:t>
      </w:r>
    </w:p>
    <w:p w14:paraId="1737BA02" w14:textId="77777777" w:rsidR="00F82201" w:rsidRPr="0084736D" w:rsidRDefault="00F82201" w:rsidP="00F82201">
      <w:pPr>
        <w:rPr>
          <w:sz w:val="28"/>
          <w:szCs w:val="28"/>
          <w:lang w:val="uk-UA"/>
        </w:rPr>
      </w:pPr>
      <w:r w:rsidRPr="00A67D36">
        <w:rPr>
          <w:sz w:val="28"/>
          <w:szCs w:val="28"/>
          <w:lang w:val="uk-UA"/>
        </w:rPr>
        <w:t xml:space="preserve">Бахмутської міської ради                                                 </w:t>
      </w:r>
      <w:r>
        <w:rPr>
          <w:sz w:val="28"/>
          <w:szCs w:val="28"/>
          <w:lang w:val="uk-UA"/>
        </w:rPr>
        <w:t xml:space="preserve">  Л.С.Герасимова                                                                                      </w:t>
      </w:r>
    </w:p>
    <w:p w14:paraId="4FE79174" w14:textId="77777777" w:rsidR="003473F8" w:rsidRPr="0084736D" w:rsidRDefault="003473F8">
      <w:pPr>
        <w:rPr>
          <w:lang w:val="uk-UA"/>
        </w:rPr>
      </w:pPr>
    </w:p>
    <w:sectPr w:rsidR="003473F8" w:rsidRPr="0084736D" w:rsidSect="003473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00B29"/>
    <w:multiLevelType w:val="hybridMultilevel"/>
    <w:tmpl w:val="910AB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0EF71B6"/>
    <w:multiLevelType w:val="hybridMultilevel"/>
    <w:tmpl w:val="910AB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736D"/>
    <w:rsid w:val="003473F8"/>
    <w:rsid w:val="00664259"/>
    <w:rsid w:val="006F17E6"/>
    <w:rsid w:val="006F5D46"/>
    <w:rsid w:val="00716094"/>
    <w:rsid w:val="00823A39"/>
    <w:rsid w:val="0084736D"/>
    <w:rsid w:val="008924B0"/>
    <w:rsid w:val="009A0CA3"/>
    <w:rsid w:val="00F8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D4478"/>
  <w15:docId w15:val="{BCED27EC-B13B-4ADD-A233-0FAD598FB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4736D"/>
    <w:pPr>
      <w:spacing w:after="0" w:line="240" w:lineRule="auto"/>
    </w:pPr>
    <w:rPr>
      <w:rFonts w:eastAsia="Times New Roman"/>
      <w:color w:val="auto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924B0"/>
    <w:pPr>
      <w:keepNext/>
      <w:ind w:left="-709" w:right="-1050"/>
      <w:jc w:val="both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8924B0"/>
    <w:pPr>
      <w:keepNext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8924B0"/>
    <w:pPr>
      <w:keepNext/>
      <w:ind w:left="-709" w:right="-1050"/>
      <w:jc w:val="both"/>
      <w:outlineLvl w:val="2"/>
    </w:pPr>
    <w:rPr>
      <w:i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24B0"/>
    <w:rPr>
      <w:rFonts w:eastAsia="Times New Roman"/>
      <w:b/>
      <w:color w:val="auto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8924B0"/>
    <w:rPr>
      <w:rFonts w:eastAsia="Times New Roman"/>
      <w:b/>
      <w:color w:val="auto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8924B0"/>
    <w:rPr>
      <w:rFonts w:eastAsia="Times New Roman"/>
      <w:i/>
      <w:color w:val="auto"/>
      <w:sz w:val="24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8924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4B0"/>
    <w:rPr>
      <w:rFonts w:ascii="Tahoma" w:eastAsia="Times New Roman" w:hAnsi="Tahoma" w:cs="Tahoma"/>
      <w:color w:val="auto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1538</Words>
  <Characters>8770</Characters>
  <Application>Microsoft Office Word</Application>
  <DocSecurity>0</DocSecurity>
  <Lines>73</Lines>
  <Paragraphs>20</Paragraphs>
  <ScaleCrop>false</ScaleCrop>
  <Company>SPecialiST RePack</Company>
  <LinksUpToDate>false</LinksUpToDate>
  <CharactersWithSpaces>10288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Контроль</dc:creator>
  <cp:lastModifiedBy>ch09</cp:lastModifiedBy>
  <cp:revision>3</cp:revision>
  <cp:lastPrinted>2020-05-04T12:44:00Z</cp:lastPrinted>
  <dcterms:created xsi:type="dcterms:W3CDTF">2020-05-07T05:46:00Z</dcterms:created>
  <dcterms:modified xsi:type="dcterms:W3CDTF">2020-06-15T07:55:00Z</dcterms:modified>
</cp:coreProperties>
</file>