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83" w:rsidRDefault="00B65183" w:rsidP="00B6518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183" w:rsidRDefault="00B65183" w:rsidP="00B65183">
      <w:pPr>
        <w:jc w:val="center"/>
        <w:rPr>
          <w:b/>
          <w:bCs/>
          <w:sz w:val="32"/>
          <w:szCs w:val="32"/>
          <w:lang w:val="uk-UA"/>
        </w:rPr>
      </w:pPr>
    </w:p>
    <w:p w:rsidR="00B65183" w:rsidRDefault="00B65183" w:rsidP="00B65183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B65183" w:rsidRDefault="00B65183" w:rsidP="00B65183">
      <w:pPr>
        <w:jc w:val="center"/>
        <w:rPr>
          <w:b/>
          <w:bCs/>
          <w:sz w:val="32"/>
          <w:szCs w:val="32"/>
          <w:lang w:val="uk-UA"/>
        </w:rPr>
      </w:pPr>
    </w:p>
    <w:p w:rsidR="00B65183" w:rsidRDefault="00B65183" w:rsidP="00B6518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B65183" w:rsidRDefault="00B65183" w:rsidP="00B65183">
      <w:pPr>
        <w:jc w:val="center"/>
        <w:rPr>
          <w:b/>
          <w:bCs/>
          <w:sz w:val="36"/>
          <w:szCs w:val="36"/>
          <w:lang w:val="uk-UA"/>
        </w:rPr>
      </w:pPr>
    </w:p>
    <w:p w:rsidR="00B65183" w:rsidRDefault="00B65183" w:rsidP="00B65183">
      <w:pPr>
        <w:pStyle w:val="2"/>
        <w:rPr>
          <w:sz w:val="40"/>
          <w:szCs w:val="40"/>
          <w:lang w:val="uk-UA"/>
        </w:rPr>
      </w:pPr>
      <w:r>
        <w:rPr>
          <w:color w:val="FF0000"/>
          <w:sz w:val="40"/>
          <w:szCs w:val="40"/>
          <w:lang w:val="uk-UA"/>
        </w:rPr>
        <w:t xml:space="preserve">   </w:t>
      </w:r>
      <w:r>
        <w:rPr>
          <w:sz w:val="40"/>
          <w:szCs w:val="40"/>
          <w:lang w:val="uk-UA"/>
        </w:rPr>
        <w:t xml:space="preserve"> </w:t>
      </w:r>
      <w:r w:rsidRPr="00334CA7">
        <w:rPr>
          <w:sz w:val="40"/>
          <w:szCs w:val="40"/>
          <w:lang w:val="uk-UA"/>
        </w:rPr>
        <w:t>17</w:t>
      </w:r>
      <w:r>
        <w:rPr>
          <w:sz w:val="40"/>
          <w:szCs w:val="40"/>
          <w:lang w:val="uk-UA"/>
        </w:rPr>
        <w:t xml:space="preserve"> СЕСІЯ  7 СКЛИКАННЯ</w:t>
      </w:r>
    </w:p>
    <w:p w:rsidR="00B65183" w:rsidRPr="003517E8" w:rsidRDefault="00B65183" w:rsidP="00B65183">
      <w:pPr>
        <w:jc w:val="center"/>
        <w:rPr>
          <w:b/>
          <w:bCs/>
          <w:sz w:val="20"/>
          <w:szCs w:val="20"/>
          <w:lang w:val="uk-UA"/>
        </w:rPr>
      </w:pPr>
    </w:p>
    <w:p w:rsidR="00B65183" w:rsidRDefault="00B65183" w:rsidP="00B65183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B65183" w:rsidRDefault="00B65183" w:rsidP="00B65183">
      <w:pPr>
        <w:jc w:val="center"/>
        <w:rPr>
          <w:b/>
          <w:bCs/>
          <w:sz w:val="28"/>
          <w:szCs w:val="28"/>
          <w:lang w:val="uk-UA"/>
        </w:rPr>
      </w:pPr>
    </w:p>
    <w:p w:rsidR="00B65183" w:rsidRDefault="00B65183" w:rsidP="00B65183">
      <w:pPr>
        <w:jc w:val="center"/>
        <w:rPr>
          <w:b/>
          <w:bCs/>
          <w:sz w:val="28"/>
          <w:szCs w:val="28"/>
          <w:lang w:val="uk-UA"/>
        </w:rPr>
      </w:pPr>
    </w:p>
    <w:p w:rsidR="00B65183" w:rsidRPr="00A83F7D" w:rsidRDefault="00B65183" w:rsidP="00B65183">
      <w:r>
        <w:rPr>
          <w:lang w:val="uk-UA"/>
        </w:rPr>
        <w:t>22.12.2021 № 7/17-</w:t>
      </w:r>
      <w:r w:rsidR="005C2A48">
        <w:rPr>
          <w:lang w:val="uk-UA"/>
        </w:rPr>
        <w:t xml:space="preserve"> 485</w:t>
      </w:r>
    </w:p>
    <w:p w:rsidR="00B65183" w:rsidRDefault="00B65183" w:rsidP="00B65183">
      <w:pPr>
        <w:rPr>
          <w:lang w:val="uk-UA"/>
        </w:rPr>
      </w:pPr>
      <w:r>
        <w:rPr>
          <w:lang w:val="uk-UA"/>
        </w:rPr>
        <w:t>м. Бахмут</w:t>
      </w:r>
    </w:p>
    <w:p w:rsidR="00B65183" w:rsidRDefault="00B65183" w:rsidP="00B65183">
      <w:pPr>
        <w:rPr>
          <w:lang w:val="uk-UA"/>
        </w:rPr>
      </w:pPr>
    </w:p>
    <w:p w:rsidR="00B65183" w:rsidRDefault="00B65183" w:rsidP="00B65183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Про внесення змін до </w:t>
      </w:r>
      <w:r>
        <w:rPr>
          <w:b/>
          <w:i/>
          <w:sz w:val="28"/>
          <w:szCs w:val="28"/>
          <w:lang w:val="uk-UA"/>
        </w:rPr>
        <w:t>Програми</w:t>
      </w:r>
    </w:p>
    <w:p w:rsidR="00B65183" w:rsidRDefault="00B65183" w:rsidP="00B65183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«Підвищення безпеки дорожнього руху</w:t>
      </w:r>
    </w:p>
    <w:p w:rsidR="00B65183" w:rsidRDefault="00B65183" w:rsidP="00B65183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 території Бахмутської міської</w:t>
      </w:r>
    </w:p>
    <w:p w:rsidR="00B65183" w:rsidRDefault="00B65183" w:rsidP="00B65183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територіальної громади на 2021-2025 роки» </w:t>
      </w:r>
    </w:p>
    <w:p w:rsidR="00B65183" w:rsidRDefault="00B65183" w:rsidP="00B65183">
      <w:pPr>
        <w:rPr>
          <w:sz w:val="28"/>
          <w:szCs w:val="28"/>
          <w:lang w:val="uk-UA"/>
        </w:rPr>
      </w:pPr>
    </w:p>
    <w:p w:rsidR="00B65183" w:rsidRPr="00B51BF1" w:rsidRDefault="00B65183" w:rsidP="00B651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</w:t>
      </w:r>
      <w:r w:rsidRPr="001A3AE7">
        <w:rPr>
          <w:sz w:val="28"/>
          <w:szCs w:val="28"/>
          <w:lang w:val="uk-UA"/>
        </w:rPr>
        <w:t>начальника</w:t>
      </w:r>
      <w:r w:rsidRPr="0025251E">
        <w:rPr>
          <w:sz w:val="28"/>
          <w:szCs w:val="28"/>
          <w:lang w:val="uk-UA"/>
        </w:rPr>
        <w:t xml:space="preserve">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proofErr w:type="spellStart"/>
      <w:r>
        <w:rPr>
          <w:sz w:val="28"/>
          <w:szCs w:val="28"/>
          <w:lang w:val="uk-UA"/>
        </w:rPr>
        <w:t>Платіциної</w:t>
      </w:r>
      <w:proofErr w:type="spellEnd"/>
      <w:r>
        <w:rPr>
          <w:sz w:val="28"/>
          <w:szCs w:val="28"/>
          <w:lang w:val="uk-UA"/>
        </w:rPr>
        <w:t xml:space="preserve"> Т.М. від</w:t>
      </w:r>
      <w:r w:rsidR="00D03A31">
        <w:rPr>
          <w:sz w:val="28"/>
          <w:szCs w:val="28"/>
          <w:lang w:val="uk-UA"/>
        </w:rPr>
        <w:t xml:space="preserve"> 30</w:t>
      </w:r>
      <w:r w:rsidRPr="00046CCB">
        <w:rPr>
          <w:sz w:val="28"/>
          <w:szCs w:val="28"/>
          <w:lang w:val="uk-UA"/>
        </w:rPr>
        <w:t>.11.2021 №</w:t>
      </w:r>
      <w:r w:rsidR="00D03A31">
        <w:rPr>
          <w:sz w:val="28"/>
          <w:szCs w:val="28"/>
          <w:lang w:val="uk-UA"/>
        </w:rPr>
        <w:t xml:space="preserve"> 01-31/7714/0/1-21 </w:t>
      </w:r>
      <w:r>
        <w:rPr>
          <w:sz w:val="28"/>
          <w:szCs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«Підвищення безпеки дорожнього руху на</w:t>
      </w:r>
      <w:r w:rsidRPr="00CD4F5F">
        <w:rPr>
          <w:sz w:val="28"/>
          <w:szCs w:val="28"/>
          <w:lang w:val="uk-UA"/>
        </w:rPr>
        <w:t xml:space="preserve"> території</w:t>
      </w:r>
      <w:r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Бахмутської міської територіальної громади на 2021-2025 роки</w:t>
      </w:r>
      <w:r>
        <w:rPr>
          <w:sz w:val="28"/>
          <w:szCs w:val="28"/>
          <w:lang w:val="uk-UA"/>
        </w:rPr>
        <w:t xml:space="preserve">»,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Бахмутсь</w:t>
      </w:r>
      <w:r w:rsidR="00D74007">
        <w:rPr>
          <w:sz w:val="28"/>
          <w:szCs w:val="28"/>
          <w:lang w:val="uk-UA"/>
        </w:rPr>
        <w:t>кої міської ради від 21.10.2020</w:t>
      </w:r>
      <w:r>
        <w:rPr>
          <w:sz w:val="28"/>
          <w:szCs w:val="28"/>
          <w:lang w:val="uk-UA"/>
        </w:rPr>
        <w:t xml:space="preserve"> № 6/148-3151</w:t>
      </w:r>
      <w:r w:rsidR="00D74007">
        <w:rPr>
          <w:sz w:val="28"/>
          <w:szCs w:val="28"/>
          <w:lang w:val="uk-UA"/>
        </w:rPr>
        <w:t xml:space="preserve"> (із змінами)</w:t>
      </w:r>
      <w:r>
        <w:rPr>
          <w:sz w:val="28"/>
          <w:szCs w:val="28"/>
          <w:lang w:val="uk-UA"/>
        </w:rPr>
        <w:t>, враховуючи висновки: Фінансового управління Бахмутської міської ради від</w:t>
      </w:r>
      <w:r w:rsidR="0057534D">
        <w:rPr>
          <w:sz w:val="28"/>
          <w:szCs w:val="28"/>
          <w:lang w:val="uk-UA"/>
        </w:rPr>
        <w:t xml:space="preserve"> 25.11.2021 </w:t>
      </w:r>
      <w:r w:rsidRPr="00046CCB">
        <w:rPr>
          <w:sz w:val="28"/>
          <w:szCs w:val="28"/>
          <w:lang w:val="uk-UA"/>
        </w:rPr>
        <w:t>№</w:t>
      </w:r>
      <w:r w:rsidR="0057534D">
        <w:rPr>
          <w:sz w:val="28"/>
          <w:szCs w:val="28"/>
          <w:lang w:val="uk-UA"/>
        </w:rPr>
        <w:t xml:space="preserve"> 03-29/827</w:t>
      </w:r>
      <w:r>
        <w:rPr>
          <w:sz w:val="28"/>
          <w:szCs w:val="28"/>
          <w:lang w:val="uk-UA"/>
        </w:rPr>
        <w:t xml:space="preserve">, Управління економічного розвитку Бахмутської міської ради </w:t>
      </w:r>
      <w:r w:rsidR="0057534D">
        <w:rPr>
          <w:sz w:val="28"/>
          <w:szCs w:val="28"/>
          <w:lang w:val="uk-UA"/>
        </w:rPr>
        <w:t>від 26</w:t>
      </w:r>
      <w:r w:rsidRPr="00046CCB">
        <w:rPr>
          <w:sz w:val="28"/>
          <w:szCs w:val="28"/>
          <w:lang w:val="uk-UA"/>
        </w:rPr>
        <w:t>.11.2021</w:t>
      </w:r>
      <w:r w:rsidR="0057534D">
        <w:rPr>
          <w:sz w:val="28"/>
          <w:szCs w:val="28"/>
          <w:lang w:val="uk-UA"/>
        </w:rPr>
        <w:t xml:space="preserve"> </w:t>
      </w:r>
      <w:r w:rsidRPr="00046CCB">
        <w:rPr>
          <w:sz w:val="28"/>
          <w:szCs w:val="28"/>
          <w:lang w:val="uk-UA"/>
        </w:rPr>
        <w:t>№</w:t>
      </w:r>
      <w:r w:rsidR="0057534D">
        <w:rPr>
          <w:sz w:val="28"/>
          <w:szCs w:val="28"/>
          <w:lang w:val="uk-UA"/>
        </w:rPr>
        <w:t xml:space="preserve"> 1086/02</w:t>
      </w:r>
      <w:r>
        <w:rPr>
          <w:sz w:val="28"/>
          <w:szCs w:val="28"/>
          <w:lang w:val="uk-UA"/>
        </w:rPr>
        <w:t xml:space="preserve">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«Про дорожній рух», Закону України «Про автомобільний транспорт»,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26.05.2021 № 7/9-291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 26 Закону України «Про місцеве </w:t>
      </w:r>
      <w:r w:rsidRPr="00E7675B">
        <w:rPr>
          <w:sz w:val="28"/>
          <w:szCs w:val="28"/>
          <w:lang w:val="uk-UA"/>
        </w:rPr>
        <w:t>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B65183" w:rsidRDefault="00B65183" w:rsidP="00B65183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</w:t>
      </w:r>
    </w:p>
    <w:p w:rsidR="00B65183" w:rsidRPr="00E7675B" w:rsidRDefault="00B65183" w:rsidP="00B65183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  <w:t xml:space="preserve"> </w:t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B65183" w:rsidRPr="00193758" w:rsidRDefault="00B65183" w:rsidP="00B65183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B65183" w:rsidRPr="002E73AA" w:rsidRDefault="00B65183" w:rsidP="00B65183">
      <w:pPr>
        <w:ind w:firstLine="708"/>
        <w:jc w:val="both"/>
        <w:rPr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</w:t>
      </w:r>
      <w:r w:rsidRPr="00E259F2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="001E1B98">
        <w:rPr>
          <w:sz w:val="28"/>
          <w:szCs w:val="28"/>
          <w:lang w:val="uk-UA"/>
        </w:rPr>
        <w:t>«Підвищення безпеки дорожнього руху на</w:t>
      </w:r>
      <w:r w:rsidR="001E1B98" w:rsidRPr="00CD4F5F"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CD4F5F">
        <w:rPr>
          <w:sz w:val="28"/>
          <w:szCs w:val="28"/>
          <w:lang w:val="uk-UA"/>
        </w:rPr>
        <w:t>Бахмутської міської територіальної громади на 2021-2025</w:t>
      </w:r>
      <w:r>
        <w:rPr>
          <w:sz w:val="28"/>
          <w:szCs w:val="28"/>
          <w:lang w:val="uk-UA"/>
        </w:rPr>
        <w:t> </w:t>
      </w:r>
      <w:r w:rsidRPr="00CD4F5F">
        <w:rPr>
          <w:sz w:val="28"/>
          <w:szCs w:val="28"/>
          <w:lang w:val="uk-UA"/>
        </w:rPr>
        <w:t>роки</w:t>
      </w:r>
      <w:r w:rsidR="001E1B9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 xml:space="preserve">Бахмутської міської </w:t>
      </w:r>
      <w:r w:rsidR="001E1B98">
        <w:rPr>
          <w:sz w:val="28"/>
          <w:szCs w:val="28"/>
          <w:lang w:val="uk-UA"/>
        </w:rPr>
        <w:t>ради від 21.10.2020 № 6/148-3151</w:t>
      </w:r>
      <w:r>
        <w:rPr>
          <w:sz w:val="28"/>
          <w:szCs w:val="28"/>
          <w:lang w:val="uk-UA"/>
        </w:rPr>
        <w:t>,</w:t>
      </w:r>
      <w:r w:rsidRPr="00721B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змі</w:t>
      </w:r>
      <w:r w:rsidR="001E1B98">
        <w:rPr>
          <w:sz w:val="28"/>
          <w:szCs w:val="28"/>
          <w:lang w:val="uk-UA"/>
        </w:rPr>
        <w:t>нами, внесеними до неї рішенням</w:t>
      </w:r>
      <w:r>
        <w:rPr>
          <w:sz w:val="28"/>
          <w:szCs w:val="28"/>
          <w:lang w:val="uk-UA"/>
        </w:rPr>
        <w:t xml:space="preserve"> Бахмутської міської ради від 28.04.2021 № 7/8-273, </w:t>
      </w:r>
      <w:r w:rsidRPr="00E40BF3">
        <w:rPr>
          <w:sz w:val="28"/>
          <w:szCs w:val="28"/>
          <w:lang w:val="uk-UA"/>
        </w:rPr>
        <w:t>(далі – Програма):</w:t>
      </w:r>
    </w:p>
    <w:p w:rsidR="00B65183" w:rsidRDefault="00B65183" w:rsidP="00B65183">
      <w:pPr>
        <w:ind w:firstLine="709"/>
        <w:jc w:val="both"/>
        <w:rPr>
          <w:sz w:val="28"/>
          <w:szCs w:val="28"/>
          <w:lang w:val="uk-UA"/>
        </w:rPr>
      </w:pPr>
    </w:p>
    <w:p w:rsidR="00B57C8A" w:rsidRDefault="00B57C8A" w:rsidP="00B65183">
      <w:pPr>
        <w:ind w:firstLine="709"/>
        <w:jc w:val="both"/>
        <w:rPr>
          <w:sz w:val="28"/>
          <w:szCs w:val="28"/>
          <w:lang w:val="uk-UA"/>
        </w:rPr>
      </w:pPr>
    </w:p>
    <w:p w:rsidR="00B65183" w:rsidRDefault="00B65183" w:rsidP="00B651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1.1.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</w:t>
      </w:r>
      <w:r w:rsidRPr="00DB226F">
        <w:rPr>
          <w:sz w:val="28"/>
          <w:szCs w:val="28"/>
          <w:lang w:val="uk-UA"/>
        </w:rPr>
        <w:t xml:space="preserve">9 та </w:t>
      </w:r>
      <w:proofErr w:type="spellStart"/>
      <w:r w:rsidRPr="00DB226F">
        <w:rPr>
          <w:sz w:val="28"/>
          <w:szCs w:val="28"/>
          <w:lang w:val="uk-UA"/>
        </w:rPr>
        <w:t>п.п</w:t>
      </w:r>
      <w:proofErr w:type="spellEnd"/>
      <w:r w:rsidRPr="00DB226F">
        <w:rPr>
          <w:sz w:val="28"/>
          <w:szCs w:val="28"/>
          <w:lang w:val="uk-UA"/>
        </w:rPr>
        <w:t xml:space="preserve">. 9.1 </w:t>
      </w:r>
      <w:r w:rsidRPr="00B22DD9">
        <w:rPr>
          <w:sz w:val="28"/>
          <w:szCs w:val="28"/>
          <w:lang w:val="uk-UA"/>
        </w:rPr>
        <w:t>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B65183" w:rsidRDefault="00B65183" w:rsidP="00B65183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3653"/>
        <w:gridCol w:w="5352"/>
      </w:tblGrid>
      <w:tr w:rsidR="00B65183" w:rsidTr="00B65183">
        <w:tc>
          <w:tcPr>
            <w:tcW w:w="566" w:type="dxa"/>
          </w:tcPr>
          <w:p w:rsidR="00B65183" w:rsidRPr="00320DBA" w:rsidRDefault="00B65183" w:rsidP="00B65183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B65183" w:rsidRPr="00D11BAD" w:rsidRDefault="00B65183" w:rsidP="00B65183">
            <w:pPr>
              <w:jc w:val="both"/>
              <w:rPr>
                <w:bCs/>
                <w:color w:val="FF0000"/>
                <w:sz w:val="28"/>
                <w:szCs w:val="28"/>
                <w:lang w:val="uk-UA" w:eastAsia="en-US"/>
              </w:rPr>
            </w:pPr>
          </w:p>
          <w:p w:rsidR="00B65183" w:rsidRPr="00D11BAD" w:rsidRDefault="00B65183" w:rsidP="00B65183">
            <w:pPr>
              <w:jc w:val="both"/>
              <w:rPr>
                <w:bCs/>
                <w:color w:val="FF0000"/>
                <w:sz w:val="28"/>
                <w:szCs w:val="28"/>
                <w:lang w:val="uk-UA" w:eastAsia="en-US"/>
              </w:rPr>
            </w:pPr>
          </w:p>
          <w:p w:rsidR="00B65183" w:rsidRPr="005E12E1" w:rsidRDefault="00751175" w:rsidP="00F55551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1711</w:t>
            </w:r>
            <w:r w:rsidR="00F55551" w:rsidRPr="00F55551">
              <w:rPr>
                <w:sz w:val="28"/>
                <w:szCs w:val="28"/>
                <w:lang w:val="uk-UA"/>
              </w:rPr>
              <w:t>4,8</w:t>
            </w:r>
            <w:r w:rsidR="00B65183" w:rsidRPr="005E12E1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B65183" w:rsidTr="00B65183">
        <w:tc>
          <w:tcPr>
            <w:tcW w:w="566" w:type="dxa"/>
          </w:tcPr>
          <w:p w:rsidR="00B65183" w:rsidRPr="00320DBA" w:rsidRDefault="00B65183" w:rsidP="00B65183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 xml:space="preserve">- </w:t>
            </w:r>
            <w:r w:rsidRPr="009F467C">
              <w:rPr>
                <w:sz w:val="28"/>
                <w:szCs w:val="28"/>
                <w:lang w:val="uk-UA"/>
              </w:rPr>
              <w:t>коштів державного бюджету</w:t>
            </w:r>
          </w:p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коштів бюджету Бахмутської міської територіальної громади</w:t>
            </w:r>
          </w:p>
          <w:p w:rsidR="00B65183" w:rsidRPr="00320DBA" w:rsidRDefault="00B65183" w:rsidP="00B65183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B65183" w:rsidRPr="00D11BAD" w:rsidRDefault="00B65183" w:rsidP="00B6518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B65183" w:rsidRDefault="00B65183" w:rsidP="00B65183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</w:p>
          <w:p w:rsidR="00B65183" w:rsidRPr="00DB226F" w:rsidRDefault="00B65183" w:rsidP="00B65183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DB226F"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  <w:p w:rsidR="00B65183" w:rsidRPr="00DB226F" w:rsidRDefault="00B65183" w:rsidP="00B65183">
            <w:pPr>
              <w:widowControl w:val="0"/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DB226F">
              <w:rPr>
                <w:sz w:val="28"/>
                <w:szCs w:val="28"/>
                <w:lang w:val="uk-UA"/>
              </w:rPr>
              <w:t>-</w:t>
            </w:r>
          </w:p>
          <w:p w:rsidR="00B65183" w:rsidRPr="00DB226F" w:rsidRDefault="00B65183" w:rsidP="00B6518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65183" w:rsidRPr="00DB226F" w:rsidRDefault="00B65183" w:rsidP="00B6518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65183" w:rsidRPr="002359A2" w:rsidRDefault="00751175" w:rsidP="00B65183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1711</w:t>
            </w:r>
            <w:r w:rsidR="00F55551" w:rsidRPr="00F55551">
              <w:rPr>
                <w:sz w:val="28"/>
                <w:szCs w:val="28"/>
                <w:lang w:val="uk-UA"/>
              </w:rPr>
              <w:t>4,8</w:t>
            </w:r>
            <w:r w:rsidR="00F55551" w:rsidRPr="005E12E1">
              <w:rPr>
                <w:sz w:val="28"/>
                <w:szCs w:val="28"/>
                <w:lang w:val="uk-UA"/>
              </w:rPr>
              <w:t xml:space="preserve"> </w:t>
            </w:r>
            <w:r w:rsidR="00B65183" w:rsidRPr="00F55551">
              <w:rPr>
                <w:sz w:val="28"/>
                <w:szCs w:val="28"/>
                <w:lang w:val="uk-UA"/>
              </w:rPr>
              <w:t>тис грн.</w:t>
            </w:r>
          </w:p>
          <w:p w:rsidR="00B65183" w:rsidRPr="00F55551" w:rsidRDefault="00F55551" w:rsidP="00B65183">
            <w:pPr>
              <w:jc w:val="center"/>
              <w:rPr>
                <w:sz w:val="28"/>
                <w:szCs w:val="28"/>
                <w:lang w:val="uk-UA"/>
              </w:rPr>
            </w:pPr>
            <w:r w:rsidRPr="00F55551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B65183" w:rsidRDefault="00B65183" w:rsidP="00B6518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5183" w:rsidRDefault="00B65183" w:rsidP="00B65183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Додаток 1 «Заходи з реалізації Програми» до Програми викласти у новій редакції, згідно додатку 1.</w:t>
      </w:r>
    </w:p>
    <w:p w:rsidR="00B65183" w:rsidRDefault="00B65183" w:rsidP="00B65183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Додаток 2 «Показники результативності Програми» до Програми</w:t>
      </w:r>
      <w:r w:rsidRPr="003D3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C150AE">
        <w:rPr>
          <w:rFonts w:ascii="Times New Roman" w:hAnsi="Times New Roman" w:cs="Times New Roman"/>
          <w:sz w:val="28"/>
          <w:szCs w:val="28"/>
          <w:lang w:val="uk-UA"/>
        </w:rPr>
        <w:t>у новій редакції, згідно додатку 2.</w:t>
      </w:r>
    </w:p>
    <w:p w:rsidR="00B65183" w:rsidRDefault="00B65183" w:rsidP="00B65183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1.4. Додаток 3 «Ресурсне забезпечення Програми» до Програми 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B65183" w:rsidRPr="00EE0559" w:rsidRDefault="00B65183" w:rsidP="00B65183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B65183" w:rsidRDefault="00B65183" w:rsidP="00B65183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2. Управлінню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Платіцина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B65183" w:rsidRDefault="00B65183" w:rsidP="00B65183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65183" w:rsidRDefault="00B65183" w:rsidP="00B65183">
      <w:pPr>
        <w:tabs>
          <w:tab w:val="left" w:pos="720"/>
          <w:tab w:val="left" w:pos="993"/>
        </w:tabs>
        <w:ind w:right="-1"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lang w:val="uk-UA"/>
        </w:rPr>
        <w:t>Фінансовому управлінню Бахмутської міської ради (</w:t>
      </w:r>
      <w:proofErr w:type="spellStart"/>
      <w:r>
        <w:rPr>
          <w:sz w:val="28"/>
          <w:lang w:val="uk-UA"/>
        </w:rPr>
        <w:t>Підкуйко</w:t>
      </w:r>
      <w:proofErr w:type="spellEnd"/>
      <w:r w:rsidRPr="002906FD">
        <w:rPr>
          <w:sz w:val="28"/>
          <w:lang w:val="uk-UA"/>
        </w:rPr>
        <w:t>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бюджеті</w:t>
      </w:r>
      <w:r w:rsidRPr="00F2770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Бахмутської міської територіальної громади на 2021 рік та передбачити фінансування заходів Програми при формуванні </w:t>
      </w:r>
      <w:proofErr w:type="spellStart"/>
      <w:r>
        <w:rPr>
          <w:sz w:val="28"/>
          <w:lang w:val="uk-UA"/>
        </w:rPr>
        <w:t>проєктів</w:t>
      </w:r>
      <w:proofErr w:type="spellEnd"/>
      <w:r>
        <w:rPr>
          <w:sz w:val="28"/>
          <w:lang w:val="uk-UA"/>
        </w:rPr>
        <w:t xml:space="preserve"> бюджету Бахмутської міської територіальної громади на наступні роки</w:t>
      </w:r>
      <w:r w:rsidRPr="00AC4485">
        <w:rPr>
          <w:sz w:val="28"/>
          <w:lang w:val="uk-UA"/>
        </w:rPr>
        <w:t>.</w:t>
      </w:r>
    </w:p>
    <w:p w:rsidR="00B65183" w:rsidRDefault="00B65183" w:rsidP="00B65183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B65183" w:rsidRDefault="00B65183" w:rsidP="00B65183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Платіцина</w:t>
      </w:r>
      <w:proofErr w:type="spellEnd"/>
      <w:r>
        <w:rPr>
          <w:sz w:val="28"/>
          <w:lang w:val="uk-UA"/>
        </w:rPr>
        <w:t>), Фінансове управління Бахмутської міської ради (</w:t>
      </w:r>
      <w:proofErr w:type="spellStart"/>
      <w:r>
        <w:rPr>
          <w:sz w:val="28"/>
          <w:lang w:val="uk-UA"/>
        </w:rPr>
        <w:t>Підкуйко</w:t>
      </w:r>
      <w:proofErr w:type="spellEnd"/>
      <w:r>
        <w:rPr>
          <w:sz w:val="28"/>
          <w:lang w:val="uk-UA"/>
        </w:rPr>
        <w:t xml:space="preserve">), заступника міського голови Марченка О.О., першого заступника міського голови </w:t>
      </w:r>
      <w:proofErr w:type="spellStart"/>
      <w:r>
        <w:rPr>
          <w:sz w:val="28"/>
          <w:lang w:val="uk-UA"/>
        </w:rPr>
        <w:t>Суткового</w:t>
      </w:r>
      <w:proofErr w:type="spellEnd"/>
      <w:r>
        <w:rPr>
          <w:sz w:val="28"/>
          <w:lang w:val="uk-UA"/>
        </w:rPr>
        <w:t xml:space="preserve"> М.В.</w:t>
      </w:r>
    </w:p>
    <w:p w:rsidR="00B65183" w:rsidRDefault="00B65183" w:rsidP="00B65183">
      <w:pPr>
        <w:ind w:right="-1" w:firstLine="708"/>
        <w:jc w:val="both"/>
        <w:rPr>
          <w:sz w:val="28"/>
          <w:lang w:val="uk-UA"/>
        </w:rPr>
      </w:pPr>
    </w:p>
    <w:p w:rsidR="00B65183" w:rsidRDefault="00B65183" w:rsidP="00B65183">
      <w:pPr>
        <w:widowControl w:val="0"/>
        <w:tabs>
          <w:tab w:val="left" w:pos="900"/>
          <w:tab w:val="left" w:pos="1080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постійні комісії Бахмутської</w:t>
      </w:r>
      <w:r w:rsidRPr="006E0B61">
        <w:rPr>
          <w:sz w:val="28"/>
          <w:szCs w:val="28"/>
          <w:lang w:val="uk-UA"/>
        </w:rPr>
        <w:t xml:space="preserve"> міської ради: з питань </w:t>
      </w:r>
      <w:r>
        <w:rPr>
          <w:sz w:val="28"/>
          <w:szCs w:val="28"/>
          <w:lang w:val="uk-UA"/>
        </w:rPr>
        <w:t>економічного розвитку, бюджету, регуляторної політики (Бабенко</w:t>
      </w:r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</w:t>
      </w:r>
      <w:r>
        <w:rPr>
          <w:bCs/>
          <w:iCs/>
          <w:sz w:val="28"/>
          <w:szCs w:val="28"/>
          <w:lang w:val="uk-UA"/>
        </w:rPr>
        <w:t xml:space="preserve"> транспорту і зв’язку (Кравченко</w:t>
      </w:r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секретаря Бахмутської</w:t>
      </w:r>
      <w:r w:rsidRPr="006E0B61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</w:t>
      </w:r>
      <w:proofErr w:type="spellStart"/>
      <w:r w:rsidR="00DF60E0">
        <w:rPr>
          <w:sz w:val="28"/>
          <w:szCs w:val="28"/>
          <w:lang w:val="uk-UA"/>
        </w:rPr>
        <w:t>Петриєнко-Полухіну</w:t>
      </w:r>
      <w:proofErr w:type="spellEnd"/>
      <w:r w:rsidR="00DF60E0">
        <w:rPr>
          <w:sz w:val="28"/>
          <w:szCs w:val="28"/>
          <w:lang w:val="uk-UA"/>
        </w:rPr>
        <w:t xml:space="preserve"> Г.В.</w:t>
      </w:r>
      <w:r>
        <w:rPr>
          <w:sz w:val="28"/>
          <w:szCs w:val="28"/>
          <w:lang w:val="uk-UA"/>
        </w:rPr>
        <w:t xml:space="preserve"> </w:t>
      </w:r>
    </w:p>
    <w:p w:rsidR="00B65183" w:rsidRDefault="00B65183" w:rsidP="00B65183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B65183" w:rsidRPr="006E0B61" w:rsidRDefault="00B65183" w:rsidP="00B65183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B65183" w:rsidRDefault="00B65183" w:rsidP="00B65183">
      <w:pPr>
        <w:rPr>
          <w:lang w:val="uk-UA"/>
        </w:rPr>
      </w:pPr>
      <w:r w:rsidRPr="00045914">
        <w:rPr>
          <w:b/>
          <w:sz w:val="28"/>
          <w:szCs w:val="28"/>
          <w:lang w:val="uk-UA"/>
        </w:rPr>
        <w:t>Міський голова</w:t>
      </w:r>
      <w:r w:rsidRPr="00045914">
        <w:rPr>
          <w:b/>
          <w:sz w:val="28"/>
          <w:szCs w:val="28"/>
          <w:lang w:val="uk-UA"/>
        </w:rPr>
        <w:tab/>
      </w:r>
      <w:r w:rsidRPr="00045914">
        <w:rPr>
          <w:b/>
          <w:sz w:val="28"/>
          <w:szCs w:val="28"/>
          <w:lang w:val="uk-UA"/>
        </w:rPr>
        <w:tab/>
        <w:t xml:space="preserve">      </w:t>
      </w:r>
      <w:r>
        <w:rPr>
          <w:b/>
          <w:sz w:val="28"/>
          <w:szCs w:val="28"/>
          <w:lang w:val="uk-UA"/>
        </w:rPr>
        <w:t xml:space="preserve">                                </w:t>
      </w:r>
      <w:r w:rsidRPr="00045914">
        <w:rPr>
          <w:b/>
          <w:sz w:val="28"/>
          <w:szCs w:val="28"/>
          <w:lang w:val="uk-UA"/>
        </w:rPr>
        <w:t xml:space="preserve">                     О.О. РЕВА</w:t>
      </w:r>
    </w:p>
    <w:p w:rsidR="00B65183" w:rsidRPr="00B9781A" w:rsidRDefault="00B65183" w:rsidP="00B65183">
      <w:pPr>
        <w:rPr>
          <w:lang w:val="uk-UA"/>
        </w:rPr>
        <w:sectPr w:rsidR="00B65183" w:rsidRPr="00B9781A" w:rsidSect="00B65183">
          <w:headerReference w:type="default" r:id="rId8"/>
          <w:headerReference w:type="first" r:id="rId9"/>
          <w:pgSz w:w="11906" w:h="16838"/>
          <w:pgMar w:top="1134" w:right="850" w:bottom="709" w:left="1701" w:header="708" w:footer="708" w:gutter="0"/>
          <w:cols w:space="708"/>
          <w:titlePg/>
          <w:docGrid w:linePitch="360"/>
        </w:sectPr>
      </w:pPr>
    </w:p>
    <w:p w:rsidR="00B65183" w:rsidRDefault="00B65183" w:rsidP="00D74007">
      <w:pPr>
        <w:ind w:left="8931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B65183" w:rsidRDefault="00B65183" w:rsidP="00D74007">
      <w:pPr>
        <w:ind w:left="8931"/>
        <w:rPr>
          <w:i/>
          <w:lang w:val="uk-UA"/>
        </w:rPr>
      </w:pPr>
      <w:r>
        <w:rPr>
          <w:i/>
          <w:lang w:val="uk-UA"/>
        </w:rPr>
        <w:t xml:space="preserve">до Програми </w:t>
      </w:r>
      <w:r w:rsidR="00D74007">
        <w:rPr>
          <w:i/>
          <w:lang w:val="uk-UA"/>
        </w:rPr>
        <w:t>«Підвищення безпеки дорожнього руху на</w:t>
      </w:r>
      <w:r>
        <w:rPr>
          <w:i/>
          <w:lang w:val="uk-UA"/>
        </w:rPr>
        <w:t xml:space="preserve"> території Бахмутської міської територіальної громади на 2021-2025 роки</w:t>
      </w:r>
      <w:r w:rsidR="00D74007">
        <w:rPr>
          <w:i/>
          <w:lang w:val="uk-UA"/>
        </w:rPr>
        <w:t>»</w:t>
      </w:r>
      <w:r>
        <w:rPr>
          <w:i/>
          <w:lang w:val="uk-UA"/>
        </w:rPr>
        <w:t xml:space="preserve">, затвердженої рішенням Бахмутської міської </w:t>
      </w:r>
      <w:r w:rsidR="00D74007">
        <w:rPr>
          <w:i/>
          <w:lang w:val="uk-UA"/>
        </w:rPr>
        <w:t>ради від 21.10.2020 № 6/148-3151</w:t>
      </w:r>
      <w:r>
        <w:rPr>
          <w:i/>
          <w:lang w:val="uk-UA"/>
        </w:rPr>
        <w:t xml:space="preserve">, із змінами </w:t>
      </w:r>
    </w:p>
    <w:p w:rsidR="00B65183" w:rsidRDefault="00B65183" w:rsidP="00D74007">
      <w:pPr>
        <w:ind w:left="8931"/>
        <w:rPr>
          <w:i/>
          <w:lang w:val="uk-UA"/>
        </w:rPr>
      </w:pPr>
      <w:r>
        <w:rPr>
          <w:i/>
          <w:lang w:val="uk-UA"/>
        </w:rPr>
        <w:t>(Додаток 1 у редакції рішення Бахм</w:t>
      </w:r>
      <w:r w:rsidR="004F4E50">
        <w:rPr>
          <w:i/>
          <w:lang w:val="uk-UA"/>
        </w:rPr>
        <w:t>утської міської ради від 22</w:t>
      </w:r>
      <w:r>
        <w:rPr>
          <w:i/>
          <w:lang w:val="uk-UA"/>
        </w:rPr>
        <w:t>.12.2021 № 7/17-</w:t>
      </w:r>
      <w:r w:rsidR="004F4E50">
        <w:rPr>
          <w:i/>
          <w:lang w:val="uk-UA"/>
        </w:rPr>
        <w:t xml:space="preserve"> 485</w:t>
      </w:r>
      <w:r>
        <w:rPr>
          <w:i/>
          <w:lang w:val="uk-UA"/>
        </w:rPr>
        <w:t>)</w:t>
      </w:r>
    </w:p>
    <w:p w:rsidR="00B65183" w:rsidRDefault="00B65183" w:rsidP="00B65183">
      <w:pPr>
        <w:ind w:left="9072"/>
        <w:rPr>
          <w:i/>
          <w:sz w:val="28"/>
          <w:szCs w:val="28"/>
          <w:lang w:val="uk-UA"/>
        </w:rPr>
      </w:pPr>
      <w:r>
        <w:rPr>
          <w:i/>
          <w:lang w:val="uk-UA"/>
        </w:rPr>
        <w:t xml:space="preserve"> </w:t>
      </w:r>
    </w:p>
    <w:p w:rsidR="00A05853" w:rsidRDefault="00A05853" w:rsidP="00A05853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 з реалізації Програми</w:t>
      </w:r>
    </w:p>
    <w:p w:rsidR="00A05853" w:rsidRPr="00476EBE" w:rsidRDefault="00476EBE" w:rsidP="00A05853">
      <w:pPr>
        <w:jc w:val="center"/>
        <w:rPr>
          <w:rFonts w:ascii="Times New Roman CYR" w:hAnsi="Times New Roman CYR" w:cs="Times New Roman CYR"/>
          <w:b/>
          <w:bCs/>
          <w:lang w:val="uk-UA" w:eastAsia="en-US"/>
        </w:rPr>
      </w:pPr>
      <w:r>
        <w:rPr>
          <w:rFonts w:ascii="Times New Roman CYR" w:hAnsi="Times New Roman CYR" w:cs="Times New Roman CYR"/>
          <w:b/>
          <w:bCs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76EBE">
        <w:rPr>
          <w:rFonts w:ascii="Times New Roman CYR" w:hAnsi="Times New Roman CYR" w:cs="Times New Roman CYR"/>
          <w:b/>
          <w:bCs/>
          <w:lang w:val="uk-UA" w:eastAsia="en-US"/>
        </w:rPr>
        <w:t>тис. грн.</w:t>
      </w:r>
    </w:p>
    <w:tbl>
      <w:tblPr>
        <w:tblStyle w:val="ae"/>
        <w:tblW w:w="15240" w:type="dxa"/>
        <w:tblLayout w:type="fixed"/>
        <w:tblLook w:val="04A0"/>
      </w:tblPr>
      <w:tblGrid>
        <w:gridCol w:w="535"/>
        <w:gridCol w:w="1418"/>
        <w:gridCol w:w="1986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A05853" w:rsidTr="003F5572">
        <w:trPr>
          <w:trHeight w:val="23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№</w:t>
            </w: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2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Джерела </w:t>
            </w:r>
            <w:proofErr w:type="spellStart"/>
            <w:r>
              <w:rPr>
                <w:b/>
                <w:bCs/>
                <w:lang w:val="uk-UA" w:eastAsia="en-US"/>
              </w:rPr>
              <w:t>фінансу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proofErr w:type="spellStart"/>
            <w:r>
              <w:rPr>
                <w:b/>
                <w:bCs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 xml:space="preserve">Обсяги фінансування по роках, тис. грн. 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proofErr w:type="spellStart"/>
            <w:r>
              <w:rPr>
                <w:b/>
                <w:bCs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ний результат</w:t>
            </w:r>
          </w:p>
        </w:tc>
      </w:tr>
      <w:tr w:rsidR="00A05853" w:rsidTr="003F5572">
        <w:trPr>
          <w:trHeight w:val="47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</w:p>
          <w:p w:rsidR="00A05853" w:rsidRDefault="00A05853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lang w:val="uk-UA" w:eastAsia="en-US"/>
              </w:rPr>
            </w:pPr>
          </w:p>
        </w:tc>
      </w:tr>
      <w:tr w:rsidR="00A05853" w:rsidTr="003F557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</w:t>
            </w:r>
          </w:p>
        </w:tc>
      </w:tr>
      <w:tr w:rsidR="00A05853" w:rsidTr="003F5572">
        <w:trPr>
          <w:trHeight w:val="2392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Організаційно - методичні заходи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Розробка комплексної схеми організації дорожнього руху (КСОДР) на вулично-дорожній мережі </w:t>
            </w:r>
          </w:p>
          <w:p w:rsidR="00A05853" w:rsidRDefault="00A0585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 -         УРМГ та КБ),</w:t>
            </w:r>
          </w:p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проєктна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організація</w:t>
            </w:r>
          </w:p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05853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05853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BF475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="00A05853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892FF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</w:t>
            </w:r>
            <w:r w:rsidR="00A05853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комплексної схеми  1 од.</w:t>
            </w:r>
          </w:p>
        </w:tc>
      </w:tr>
      <w:tr w:rsidR="00A05853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1.2 Проведення обліку і вивчення дорожньо-транспортних подій на вулично-дорожній мережі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відділ поліції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України в Донецькій області (далі –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Проведення аналізу дорожньо-транспортних подій на вулично-дорожній мережі громади</w:t>
            </w:r>
          </w:p>
          <w:p w:rsidR="00572B8E" w:rsidRDefault="00572B8E">
            <w:pPr>
              <w:rPr>
                <w:sz w:val="16"/>
                <w:szCs w:val="16"/>
                <w:lang w:val="uk-UA" w:eastAsia="en-US"/>
              </w:rPr>
            </w:pPr>
          </w:p>
        </w:tc>
      </w:tr>
      <w:tr w:rsidR="00A05853" w:rsidRPr="005C2A48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1.3 Проведення </w:t>
            </w:r>
            <w:r>
              <w:rPr>
                <w:b/>
                <w:sz w:val="16"/>
                <w:szCs w:val="16"/>
                <w:lang w:val="uk-UA"/>
              </w:rPr>
              <w:t>комісійних обстежень автомобільних доріг, вулиць і залізничних переїздів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Двічі на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Батальйон патрульної поліції в містах Краматорськ та Слов’янськ Управління патрульної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поліції в Донецькій області Департаменту патрульної поліції (далі – БПП)</w:t>
            </w:r>
          </w:p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A05853" w:rsidRDefault="00A0585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КОМУНАЛЬ НЕ   ПІДПРИЄМ СТВО «БАХМУТ СЬКИЙ  КОМБІНАТ КОМУНАЛЬ НИХ  ПІДПРИ ЄМСТВ»</w:t>
            </w:r>
            <w:r>
              <w:rPr>
                <w:sz w:val="16"/>
                <w:szCs w:val="16"/>
                <w:lang w:val="uk-UA"/>
              </w:rPr>
              <w:br/>
              <w:t xml:space="preserve"> (далі - </w:t>
            </w:r>
            <w:r>
              <w:rPr>
                <w:sz w:val="16"/>
                <w:szCs w:val="16"/>
                <w:lang w:val="uk-UA"/>
              </w:rPr>
              <w:br/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Виявлення недоліків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експлуатацій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ного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утримання автомобіль них доріг </w:t>
            </w:r>
            <w:r>
              <w:rPr>
                <w:sz w:val="16"/>
                <w:szCs w:val="16"/>
                <w:lang w:val="uk-UA" w:eastAsia="en-US"/>
              </w:rPr>
              <w:lastRenderedPageBreak/>
              <w:t xml:space="preserve">загального користування, вулиць населених пунктів та залізничних переїздів для подальшого їх усунення  </w:t>
            </w:r>
          </w:p>
        </w:tc>
      </w:tr>
      <w:tr w:rsidR="003F5572" w:rsidTr="001864DE">
        <w:trPr>
          <w:trHeight w:val="1742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2.1 Встановлення пристроїв примусового зниження швидкості руху транспортних засобів </w:t>
            </w:r>
          </w:p>
          <w:p w:rsidR="003F5572" w:rsidRDefault="003F55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2021, 2022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188,0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 од. пристроїв примусового зниження швидкості руху транспортних засобів</w:t>
            </w:r>
          </w:p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2.2 Виконання </w:t>
            </w:r>
            <w:proofErr w:type="spellStart"/>
            <w:r>
              <w:rPr>
                <w:b/>
                <w:sz w:val="16"/>
                <w:szCs w:val="16"/>
                <w:lang w:val="uk-UA" w:eastAsia="en-US"/>
              </w:rPr>
              <w:t>проєктних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робіт по встановленню світлофорних об’єктів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2021, 2022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148,8</w:t>
            </w:r>
          </w:p>
          <w:p w:rsidR="003F5572" w:rsidRDefault="003F5572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документації на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2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світлофорногооб</w:t>
            </w:r>
            <w:proofErr w:type="spellEnd"/>
            <w:r>
              <w:rPr>
                <w:bCs/>
                <w:sz w:val="16"/>
                <w:szCs w:val="16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єкту</w:t>
            </w:r>
            <w:proofErr w:type="spellEnd"/>
          </w:p>
          <w:p w:rsidR="003F5572" w:rsidRDefault="003F5572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3F5572" w:rsidTr="001864DE">
        <w:trPr>
          <w:trHeight w:val="30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2.3 Будівництво світлофорних об`єктів у м. Бахмут </w:t>
            </w:r>
          </w:p>
          <w:p w:rsidR="00572B8E" w:rsidRDefault="00572B8E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2022, 2023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Pr="00900F96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0F96"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Pr="00900F96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00F96"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1200,0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2 од. світлофорних об’єктів</w:t>
            </w: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B8E" w:rsidRDefault="003F55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вул. Свято-Георгіївська</w:t>
            </w:r>
          </w:p>
          <w:p w:rsidR="003F5572" w:rsidRDefault="003F5572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(магазини)</w:t>
            </w:r>
          </w:p>
          <w:p w:rsidR="003F5572" w:rsidRDefault="003F5572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2.4 Виконання капітального ремонту світлофорних об</w:t>
            </w:r>
            <w:r>
              <w:rPr>
                <w:b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/>
                <w:sz w:val="16"/>
                <w:szCs w:val="16"/>
                <w:lang w:val="uk-UA" w:eastAsia="en-US"/>
              </w:rPr>
              <w:t>єктів</w:t>
            </w:r>
            <w:proofErr w:type="spellEnd"/>
            <w:r>
              <w:rPr>
                <w:b/>
                <w:sz w:val="16"/>
                <w:szCs w:val="16"/>
                <w:lang w:val="uk-UA" w:eastAsia="en-US"/>
              </w:rPr>
              <w:t xml:space="preserve"> у м. Бахмут</w:t>
            </w: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 w:rsidP="0065429F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2022-2025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3900,0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Виконання капітального ремонту 5 од. світлофорних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об</w:t>
            </w:r>
            <w:r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>вул. Захисників України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Магістратська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перехрестя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>вул. Корсунського</w:t>
            </w:r>
          </w:p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rPr>
          <w:trHeight w:val="579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2.5 Обладнання світлофорних об’єктів системою звукового сповіщання у м. Бахмут</w:t>
            </w:r>
          </w:p>
          <w:p w:rsidR="00572B8E" w:rsidRDefault="00572B8E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2024, 2025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80,0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об’єктах 2 од. системи звукового сповіщення</w:t>
            </w: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перехрестя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>вул. Корсунського</w:t>
            </w:r>
          </w:p>
          <w:p w:rsidR="003F5572" w:rsidRDefault="003F55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(ЗОШ № 2)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Ювілейна – </w:t>
            </w:r>
          </w:p>
          <w:p w:rsidR="003F5572" w:rsidRDefault="003F5572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</w:p>
          <w:p w:rsidR="003F5572" w:rsidRDefault="003F55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40,0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rPr>
          <w:trHeight w:val="414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2.6 Заміна інформаційно-вказівних дорожніх знаків з новими назвами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335,0</w:t>
            </w:r>
          </w:p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E93B7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 21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 xml:space="preserve">0 од. інформаційно-вказівних дорожніх знаків з </w:t>
            </w:r>
            <w:proofErr w:type="spellStart"/>
            <w:r w:rsidR="003F5572">
              <w:rPr>
                <w:bCs/>
                <w:sz w:val="16"/>
                <w:szCs w:val="16"/>
                <w:lang w:val="uk-UA" w:eastAsia="en-US"/>
              </w:rPr>
              <w:t>нови</w:t>
            </w:r>
            <w:proofErr w:type="spellEnd"/>
            <w:r w:rsidR="003F5572">
              <w:rPr>
                <w:bCs/>
                <w:sz w:val="16"/>
                <w:szCs w:val="16"/>
                <w:lang w:val="uk-UA" w:eastAsia="en-US"/>
              </w:rPr>
              <w:t xml:space="preserve"> ми назвами</w:t>
            </w:r>
          </w:p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Tr="001864DE">
        <w:trPr>
          <w:trHeight w:val="1161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2.7 Поточне утримання</w:t>
            </w:r>
          </w:p>
          <w:p w:rsidR="003F5572" w:rsidRDefault="003F5572">
            <w:pPr>
              <w:rPr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1130,0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10 од. світлофорних об</w:t>
            </w:r>
            <w:r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3F5572" w:rsidRPr="00A37450" w:rsidTr="001864DE">
        <w:trPr>
          <w:trHeight w:val="1161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572" w:rsidRDefault="003F5572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702454" w:rsidP="00A37450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2.8</w:t>
            </w:r>
            <w:r w:rsidR="003F5572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Поточне утримання та</w:t>
            </w:r>
            <w:r w:rsidR="00A53999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технічне обслуговування систем</w:t>
            </w:r>
            <w:r w:rsidR="003F5572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="003F5572">
              <w:rPr>
                <w:b/>
                <w:bCs/>
                <w:iCs/>
                <w:sz w:val="16"/>
                <w:szCs w:val="16"/>
                <w:lang w:val="uk-UA" w:eastAsia="en-US"/>
              </w:rPr>
              <w:t>відеоспостереження</w:t>
            </w:r>
            <w:proofErr w:type="spellEnd"/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2022-2025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 комунальні підприємства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 w:rsidP="00A3745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3F5572" w:rsidRDefault="001E63FC" w:rsidP="00A3745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3F5572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3F557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72" w:rsidRDefault="00702454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1340,0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A74" w:rsidRDefault="00C51A74" w:rsidP="00C51A74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</w:t>
            </w:r>
            <w:r w:rsidR="00572B8E">
              <w:rPr>
                <w:bCs/>
                <w:sz w:val="16"/>
                <w:szCs w:val="16"/>
                <w:lang w:val="uk-UA" w:eastAsia="en-US"/>
              </w:rPr>
              <w:t xml:space="preserve">ування 63 од. камер </w:t>
            </w:r>
            <w:proofErr w:type="spellStart"/>
            <w:r w:rsidR="00572B8E">
              <w:rPr>
                <w:bCs/>
                <w:sz w:val="16"/>
                <w:szCs w:val="16"/>
                <w:lang w:val="uk-UA" w:eastAsia="en-US"/>
              </w:rPr>
              <w:t>відеоспостереження</w:t>
            </w:r>
            <w:proofErr w:type="spellEnd"/>
          </w:p>
          <w:p w:rsidR="003F5572" w:rsidRDefault="003F5572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05853" w:rsidTr="003F5572">
        <w:trPr>
          <w:trHeight w:val="838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3.1 Придбання та встановлення дорожніх знаків</w:t>
            </w:r>
          </w:p>
          <w:p w:rsidR="00A05853" w:rsidRDefault="00A05853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05853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05853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900F96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</w:t>
            </w:r>
            <w:r w:rsidR="00A05853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A6211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17</w:t>
            </w:r>
            <w:r w:rsidR="00A05853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E93B79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121</w:t>
            </w:r>
            <w:r w:rsidR="00A05853">
              <w:rPr>
                <w:bCs/>
                <w:sz w:val="16"/>
                <w:szCs w:val="16"/>
                <w:lang w:val="uk-UA" w:eastAsia="en-US"/>
              </w:rPr>
              <w:t xml:space="preserve">0 шт. дорожніх знаків </w:t>
            </w:r>
          </w:p>
        </w:tc>
      </w:tr>
      <w:tr w:rsidR="00A05853" w:rsidTr="003F5572">
        <w:trPr>
          <w:trHeight w:val="1104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3.2 Поточне утримання дорожніх знаків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05853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05853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53" w:rsidRDefault="00A05853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1400,0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2348 од. дорожніх знаків</w:t>
            </w:r>
          </w:p>
          <w:p w:rsidR="00A05853" w:rsidRDefault="00A05853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3.3 Встановлення пішохідних огороджень у м. Бахмут</w:t>
            </w:r>
          </w:p>
          <w:p w:rsidR="00572B8E" w:rsidRDefault="00572B8E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C04CC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C04CC">
              <w:rPr>
                <w:bCs/>
                <w:sz w:val="16"/>
                <w:szCs w:val="16"/>
                <w:lang w:val="uk-UA" w:eastAsia="en-US"/>
              </w:rPr>
              <w:t xml:space="preserve">ТГ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Pr="00EB1462" w:rsidRDefault="00EB146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Pr="00BF4751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BF4751">
              <w:rPr>
                <w:b/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 w:rsidP="001864DE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630,0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420 п. м пішохідних огороджень</w:t>
            </w: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Свободи (від вул. Незалежності до вул. Садова) – 100 п. м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 w:rsidP="001864D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Незалежності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>) – 200 п. м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 w:rsidP="001864D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Незалежності (від вул. Маріупольська до пров. Цегляний) – 100п.м</w:t>
            </w: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 w:rsidP="001864D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 вул. Чайковського </w:t>
            </w:r>
            <w:r>
              <w:rPr>
                <w:sz w:val="16"/>
                <w:szCs w:val="16"/>
                <w:lang w:val="uk-UA" w:eastAsia="en-US"/>
              </w:rPr>
              <w:br/>
              <w:t>(від вул. Польова до вул. Ювілейна) – 20 п. м</w:t>
            </w:r>
          </w:p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 w:rsidP="001864DE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rPr>
          <w:trHeight w:val="74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3.4 Виконання дорожньої розмітки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C04CC" w:rsidRDefault="001E63F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C04CC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790DA2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4288</w:t>
            </w:r>
            <w:r w:rsidR="00AC04CC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Нанесення дорожньої розмітки 30500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  <w:p w:rsidR="00572B8E" w:rsidRPr="00572B8E" w:rsidRDefault="00572B8E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AC04CC" w:rsidTr="003F5572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4.1 Висвітлення в ЗМІ актуальних питань по забезпеченню безпеки дорожнього руху</w:t>
            </w:r>
          </w:p>
          <w:p w:rsidR="00572B8E" w:rsidRDefault="00572B8E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 </w:t>
            </w:r>
          </w:p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1000 публікацій</w:t>
            </w: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4.2 Розробка стендів, плакатів, альбомів, рекламних роликів на телебаченні з матеріалами щодо безпеки дорожнього руху</w:t>
            </w:r>
          </w:p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ВП, місцеве телебачення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Інші </w:t>
            </w:r>
            <w:r>
              <w:rPr>
                <w:sz w:val="16"/>
                <w:szCs w:val="16"/>
                <w:lang w:val="uk-UA" w:eastAsia="en-US"/>
              </w:rPr>
              <w:br/>
              <w:t>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Виготовлення300 матеріалів</w:t>
            </w: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4.3 Розповсюдження методичних матеріалів для закладів освіти з безпеки дорожнього руху та правил поведінки на дорогах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освіти Бахмутської міської ради (далі Управління освіти)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Розповсюд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ження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2000 методичних матеріалів</w:t>
            </w:r>
          </w:p>
        </w:tc>
      </w:tr>
      <w:tr w:rsidR="00AC04CC" w:rsidTr="003F5572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CC" w:rsidRDefault="00AC04CC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4.4 Організація проведень занять у закладах освіти  з питань безпеки дорожнього руху</w:t>
            </w:r>
          </w:p>
          <w:p w:rsidR="00572B8E" w:rsidRDefault="00572B8E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 освіти,</w:t>
            </w:r>
          </w:p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700 заходів</w:t>
            </w:r>
          </w:p>
        </w:tc>
      </w:tr>
      <w:tr w:rsidR="00AC04CC" w:rsidTr="003F5572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Всього,</w:t>
            </w:r>
          </w:p>
          <w:p w:rsidR="00AC04CC" w:rsidRDefault="00AC04CC">
            <w:pPr>
              <w:rPr>
                <w:b/>
                <w:sz w:val="16"/>
                <w:szCs w:val="16"/>
                <w:lang w:val="uk-UA"/>
              </w:rPr>
            </w:pPr>
          </w:p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AC04CC" w:rsidRDefault="00752405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Бахмутської міської </w:t>
            </w:r>
            <w:r w:rsidR="00AC04CC">
              <w:rPr>
                <w:bCs/>
                <w:sz w:val="16"/>
                <w:szCs w:val="16"/>
                <w:lang w:val="uk-UA" w:eastAsia="en-US"/>
              </w:rPr>
              <w:t>ТГ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1539,8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1539,8</w:t>
            </w:r>
          </w:p>
          <w:p w:rsidR="00AC04CC" w:rsidRDefault="00AC04CC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45</w:t>
            </w:r>
            <w:r w:rsidR="00AC04CC">
              <w:rPr>
                <w:b/>
                <w:bCs/>
                <w:sz w:val="16"/>
                <w:szCs w:val="16"/>
                <w:lang w:val="uk-UA" w:eastAsia="en-US"/>
              </w:rPr>
              <w:t>15,0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4515,0</w:t>
            </w:r>
          </w:p>
          <w:p w:rsidR="00AC04CC" w:rsidRDefault="00AC04CC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414</w:t>
            </w:r>
            <w:r w:rsidR="00AC04CC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4140,0</w:t>
            </w:r>
          </w:p>
          <w:p w:rsidR="00AC04CC" w:rsidRDefault="00AC04CC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345</w:t>
            </w:r>
            <w:r w:rsidR="00AC04CC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3455,0</w:t>
            </w:r>
          </w:p>
          <w:p w:rsidR="00AC04CC" w:rsidRDefault="00AC04CC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346</w:t>
            </w:r>
            <w:r w:rsidR="00AC04CC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3465,0</w:t>
            </w:r>
          </w:p>
          <w:p w:rsidR="00AC04CC" w:rsidRDefault="00AC04CC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573A65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17114,8</w:t>
            </w:r>
          </w:p>
          <w:p w:rsidR="00AC04CC" w:rsidRDefault="00AC04CC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6D5D2F" w:rsidRDefault="006D5D2F" w:rsidP="006D5D2F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17114,8</w:t>
            </w:r>
          </w:p>
          <w:p w:rsidR="00AC04CC" w:rsidRDefault="00AC04CC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CC" w:rsidRDefault="00AC04CC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572B8E" w:rsidRDefault="00572B8E" w:rsidP="00A05853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05853" w:rsidRDefault="00A05853" w:rsidP="00A05853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 «Підвищення безпеки дорожнього руху на території Бахмутської міської територіал</w:t>
      </w:r>
      <w:r w:rsidR="001E63FC">
        <w:rPr>
          <w:rFonts w:ascii="Times New Roman" w:hAnsi="Times New Roman" w:cs="Times New Roman"/>
          <w:i/>
          <w:sz w:val="28"/>
          <w:szCs w:val="28"/>
          <w:lang w:val="uk-UA"/>
        </w:rPr>
        <w:t>ьної громади на 2021-2025 роки»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>, затвердженої рішенням Бахмутської міської ради від 21.10.2020 № 6/148-3151, із змінами,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капітального будівництва Бахмутської міської ради</w:t>
      </w:r>
    </w:p>
    <w:p w:rsidR="00B65183" w:rsidRDefault="00B65183" w:rsidP="00B65183">
      <w:pPr>
        <w:ind w:left="9072"/>
        <w:rPr>
          <w:i/>
          <w:sz w:val="28"/>
          <w:szCs w:val="28"/>
          <w:lang w:val="uk-UA"/>
        </w:rPr>
      </w:pPr>
    </w:p>
    <w:p w:rsidR="00B65183" w:rsidRDefault="00B65183" w:rsidP="00B65183">
      <w:pPr>
        <w:ind w:left="9072"/>
        <w:rPr>
          <w:i/>
          <w:sz w:val="28"/>
          <w:szCs w:val="28"/>
          <w:lang w:val="uk-UA"/>
        </w:rPr>
      </w:pPr>
    </w:p>
    <w:p w:rsidR="00B65183" w:rsidRDefault="00B65183" w:rsidP="00B65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B65183" w:rsidRDefault="00B65183" w:rsidP="00B65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</w:t>
      </w:r>
      <w:r w:rsidR="004B4785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               Т.М. </w:t>
      </w:r>
      <w:proofErr w:type="spellStart"/>
      <w:r>
        <w:rPr>
          <w:b/>
          <w:sz w:val="28"/>
          <w:szCs w:val="28"/>
          <w:lang w:val="uk-UA"/>
        </w:rPr>
        <w:t>Платіцина</w:t>
      </w:r>
      <w:proofErr w:type="spellEnd"/>
    </w:p>
    <w:p w:rsidR="00B65183" w:rsidRDefault="00B65183" w:rsidP="00B65183">
      <w:pPr>
        <w:rPr>
          <w:b/>
          <w:sz w:val="28"/>
          <w:szCs w:val="28"/>
          <w:lang w:val="uk-UA"/>
        </w:rPr>
      </w:pPr>
    </w:p>
    <w:p w:rsidR="00B65183" w:rsidRDefault="00B65183" w:rsidP="00B65183">
      <w:pPr>
        <w:rPr>
          <w:b/>
          <w:sz w:val="28"/>
          <w:szCs w:val="28"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  <w:sectPr w:rsidR="00B65183" w:rsidSect="00B65183">
          <w:headerReference w:type="default" r:id="rId10"/>
          <w:pgSz w:w="16838" w:h="11906" w:orient="landscape"/>
          <w:pgMar w:top="1276" w:right="907" w:bottom="567" w:left="907" w:header="709" w:footer="709" w:gutter="0"/>
          <w:pgNumType w:start="1"/>
          <w:cols w:space="720"/>
          <w:titlePg/>
          <w:docGrid w:linePitch="326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</w:t>
      </w:r>
      <w:r w:rsidR="004B4785">
        <w:rPr>
          <w:b/>
          <w:sz w:val="28"/>
          <w:szCs w:val="28"/>
          <w:lang w:val="uk-UA"/>
        </w:rPr>
        <w:t xml:space="preserve">         </w:t>
      </w:r>
      <w:r w:rsidRPr="00071B08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</w:t>
      </w:r>
      <w:r w:rsidR="004B4785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</w:t>
      </w:r>
      <w:r w:rsidR="004B4785">
        <w:rPr>
          <w:b/>
          <w:sz w:val="28"/>
          <w:szCs w:val="28"/>
          <w:lang w:val="uk-UA"/>
        </w:rPr>
        <w:t xml:space="preserve">Г.В. </w:t>
      </w:r>
      <w:proofErr w:type="spellStart"/>
      <w:r w:rsidR="004B4785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B65183" w:rsidRDefault="00B65183" w:rsidP="00105383">
      <w:pPr>
        <w:tabs>
          <w:tab w:val="left" w:pos="3068"/>
        </w:tabs>
        <w:ind w:left="8931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B65183" w:rsidRDefault="00B65183" w:rsidP="00105383">
      <w:pPr>
        <w:ind w:left="8931"/>
        <w:rPr>
          <w:i/>
          <w:lang w:val="uk-UA"/>
        </w:rPr>
      </w:pPr>
      <w:r>
        <w:rPr>
          <w:i/>
          <w:lang w:val="uk-UA"/>
        </w:rPr>
        <w:t xml:space="preserve">до Програми </w:t>
      </w:r>
      <w:r w:rsidR="00105383">
        <w:rPr>
          <w:i/>
          <w:lang w:val="uk-UA"/>
        </w:rPr>
        <w:t>«Підвищення безпеки дорожнього руху на</w:t>
      </w:r>
      <w:r>
        <w:rPr>
          <w:i/>
          <w:lang w:val="uk-UA"/>
        </w:rPr>
        <w:t xml:space="preserve"> території Бахмутської міської територіальної громади на 2021-2025 роки</w:t>
      </w:r>
      <w:r w:rsidR="00105383">
        <w:rPr>
          <w:i/>
          <w:lang w:val="uk-UA"/>
        </w:rPr>
        <w:t>»</w:t>
      </w:r>
      <w:r>
        <w:rPr>
          <w:i/>
          <w:lang w:val="uk-UA"/>
        </w:rPr>
        <w:t>, затвердженої рішенням Бахмутської міської</w:t>
      </w:r>
      <w:r w:rsidR="00105383">
        <w:rPr>
          <w:i/>
          <w:lang w:val="uk-UA"/>
        </w:rPr>
        <w:t xml:space="preserve"> ради від </w:t>
      </w:r>
      <w:r w:rsidR="006759F1">
        <w:rPr>
          <w:i/>
          <w:lang w:val="uk-UA"/>
        </w:rPr>
        <w:t>21.10.2020 № 6/148-3151</w:t>
      </w:r>
      <w:r>
        <w:rPr>
          <w:i/>
          <w:lang w:val="uk-UA"/>
        </w:rPr>
        <w:t>, із змінами</w:t>
      </w:r>
    </w:p>
    <w:p w:rsidR="00B65183" w:rsidRDefault="00B65183" w:rsidP="00105383">
      <w:pPr>
        <w:ind w:left="8931"/>
        <w:rPr>
          <w:i/>
          <w:lang w:val="uk-UA"/>
        </w:rPr>
      </w:pPr>
      <w:r>
        <w:rPr>
          <w:i/>
          <w:lang w:val="uk-UA"/>
        </w:rPr>
        <w:t>(Додаток 2 у редакції рішення</w:t>
      </w:r>
      <w:r w:rsidR="00805BF8">
        <w:rPr>
          <w:i/>
          <w:lang w:val="uk-UA"/>
        </w:rPr>
        <w:t xml:space="preserve"> Бахмутської міської ради від 22</w:t>
      </w:r>
      <w:r>
        <w:rPr>
          <w:i/>
          <w:lang w:val="uk-UA"/>
        </w:rPr>
        <w:t>.12.2021 № 7/17-</w:t>
      </w:r>
      <w:r w:rsidR="00805BF8">
        <w:rPr>
          <w:i/>
          <w:lang w:val="uk-UA"/>
        </w:rPr>
        <w:t xml:space="preserve"> 485</w:t>
      </w:r>
      <w:r>
        <w:rPr>
          <w:i/>
          <w:lang w:val="uk-UA"/>
        </w:rPr>
        <w:t>)</w:t>
      </w:r>
    </w:p>
    <w:p w:rsidR="00B65183" w:rsidRDefault="00B65183" w:rsidP="00B65183">
      <w:pPr>
        <w:ind w:firstLine="709"/>
        <w:jc w:val="center"/>
        <w:rPr>
          <w:b/>
          <w:sz w:val="28"/>
          <w:szCs w:val="28"/>
          <w:lang w:val="uk-UA"/>
        </w:rPr>
      </w:pPr>
    </w:p>
    <w:p w:rsidR="00105383" w:rsidRDefault="00105383" w:rsidP="00105383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105383" w:rsidRPr="00B26C86" w:rsidRDefault="00105383" w:rsidP="00105383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103"/>
        <w:gridCol w:w="1134"/>
        <w:gridCol w:w="1559"/>
        <w:gridCol w:w="992"/>
        <w:gridCol w:w="993"/>
        <w:gridCol w:w="992"/>
        <w:gridCol w:w="992"/>
        <w:gridCol w:w="992"/>
        <w:gridCol w:w="1843"/>
      </w:tblGrid>
      <w:tr w:rsidR="001864DE" w:rsidRPr="00E56166" w:rsidTr="001864DE">
        <w:trPr>
          <w:trHeight w:val="828"/>
        </w:trPr>
        <w:tc>
          <w:tcPr>
            <w:tcW w:w="426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</w:rPr>
            </w:pPr>
            <w:r w:rsidRPr="00C77D18">
              <w:rPr>
                <w:b/>
              </w:rPr>
              <w:t xml:space="preserve">№ </w:t>
            </w:r>
            <w:proofErr w:type="spellStart"/>
            <w:r w:rsidRPr="00C77D18">
              <w:rPr>
                <w:b/>
              </w:rPr>
              <w:t>з</w:t>
            </w:r>
            <w:proofErr w:type="spellEnd"/>
            <w:r w:rsidRPr="00C77D18">
              <w:rPr>
                <w:b/>
              </w:rPr>
              <w:t>/</w:t>
            </w:r>
            <w:proofErr w:type="spellStart"/>
            <w:proofErr w:type="gramStart"/>
            <w:r w:rsidRPr="00C77D18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103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Назва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показника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</w:rPr>
            </w:pPr>
            <w:proofErr w:type="spellStart"/>
            <w:r w:rsidRPr="00C77D18">
              <w:rPr>
                <w:b/>
              </w:rPr>
              <w:t>Одиниця</w:t>
            </w:r>
            <w:proofErr w:type="spellEnd"/>
            <w:r w:rsidRPr="00C77D18">
              <w:rPr>
                <w:b/>
              </w:rPr>
              <w:t xml:space="preserve"> </w:t>
            </w:r>
            <w:proofErr w:type="spellStart"/>
            <w:r w:rsidRPr="00C77D18">
              <w:rPr>
                <w:b/>
              </w:rPr>
              <w:t>виміру</w:t>
            </w:r>
            <w:proofErr w:type="spellEnd"/>
          </w:p>
        </w:tc>
        <w:tc>
          <w:tcPr>
            <w:tcW w:w="1559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Вихідні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дані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 xml:space="preserve">на початок </w:t>
            </w:r>
            <w:r>
              <w:rPr>
                <w:b/>
                <w:lang w:val="uk-UA"/>
              </w:rPr>
              <w:t xml:space="preserve">   </w:t>
            </w:r>
            <w:proofErr w:type="spellStart"/>
            <w:r>
              <w:rPr>
                <w:b/>
              </w:rPr>
              <w:t>дії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П</w:t>
            </w:r>
            <w:proofErr w:type="spellStart"/>
            <w:r w:rsidRPr="00C77D18">
              <w:rPr>
                <w:b/>
              </w:rPr>
              <w:t>рограми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21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3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22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 w:rsidRPr="00C77D18">
              <w:rPr>
                <w:b/>
              </w:rPr>
              <w:t>20</w:t>
            </w:r>
            <w:r>
              <w:rPr>
                <w:b/>
                <w:lang w:val="uk-UA"/>
              </w:rPr>
              <w:t>23</w:t>
            </w:r>
            <w:r w:rsidRPr="00C77D18">
              <w:rPr>
                <w:b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</w:rPr>
              <w:t>р</w:t>
            </w:r>
            <w:proofErr w:type="gramEnd"/>
            <w:r w:rsidRPr="00C77D18">
              <w:rPr>
                <w:b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2025</w:t>
            </w:r>
            <w:r w:rsidRPr="00C77D18">
              <w:rPr>
                <w:b/>
                <w:lang w:val="uk-UA"/>
              </w:rPr>
              <w:t xml:space="preserve"> рік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1864DE" w:rsidRPr="00C77D18" w:rsidRDefault="001864DE" w:rsidP="001864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 після завершення дії Програми</w:t>
            </w:r>
          </w:p>
        </w:tc>
      </w:tr>
      <w:tr w:rsidR="001864DE" w:rsidRPr="00E56166" w:rsidTr="001864DE">
        <w:tc>
          <w:tcPr>
            <w:tcW w:w="426" w:type="dxa"/>
            <w:shd w:val="clear" w:color="auto" w:fill="auto"/>
          </w:tcPr>
          <w:p w:rsidR="001864DE" w:rsidRPr="00E56166" w:rsidRDefault="001864DE" w:rsidP="001864DE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1864DE" w:rsidRPr="00DB4F1C" w:rsidRDefault="001864DE" w:rsidP="001864DE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1864DE" w:rsidRPr="00276AE7" w:rsidRDefault="00276AE7" w:rsidP="001864D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105383" w:rsidRPr="00E56166" w:rsidTr="001864DE">
        <w:tc>
          <w:tcPr>
            <w:tcW w:w="15026" w:type="dxa"/>
            <w:gridSpan w:val="10"/>
            <w:shd w:val="clear" w:color="auto" w:fill="auto"/>
          </w:tcPr>
          <w:p w:rsidR="00105383" w:rsidRPr="0023602B" w:rsidRDefault="00105383" w:rsidP="001864DE">
            <w:pPr>
              <w:jc w:val="center"/>
              <w:rPr>
                <w:b/>
              </w:rPr>
            </w:pPr>
            <w:r w:rsidRPr="0023602B">
              <w:rPr>
                <w:b/>
              </w:rPr>
              <w:t xml:space="preserve">І. </w:t>
            </w:r>
            <w:proofErr w:type="spellStart"/>
            <w:r w:rsidRPr="0023602B">
              <w:rPr>
                <w:b/>
              </w:rPr>
              <w:t>Показники</w:t>
            </w:r>
            <w:proofErr w:type="spellEnd"/>
            <w:r w:rsidRPr="0023602B">
              <w:rPr>
                <w:b/>
              </w:rPr>
              <w:t xml:space="preserve"> </w:t>
            </w:r>
            <w:proofErr w:type="spellStart"/>
            <w:r w:rsidRPr="0023602B">
              <w:rPr>
                <w:b/>
              </w:rPr>
              <w:t>витрат</w:t>
            </w:r>
            <w:proofErr w:type="spellEnd"/>
          </w:p>
        </w:tc>
      </w:tr>
      <w:tr w:rsidR="001864DE" w:rsidRPr="00E56166" w:rsidTr="005C5731">
        <w:trPr>
          <w:trHeight w:val="674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</w:pPr>
            <w:r w:rsidRPr="0023602B"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>Обсяг ресурсів, 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>
              <w:rPr>
                <w:bCs/>
                <w:lang w:eastAsia="en-US"/>
              </w:rPr>
              <w:t>1539,8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45</w:t>
            </w:r>
            <w:r w:rsidRPr="0023602B">
              <w:rPr>
                <w:bCs/>
                <w:lang w:val="uk-UA" w:eastAsia="en-US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414</w:t>
            </w:r>
            <w:r w:rsidRPr="0023602B">
              <w:rPr>
                <w:bCs/>
                <w:lang w:val="uk-UA" w:eastAsia="en-US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345</w:t>
            </w:r>
            <w:r w:rsidRPr="0023602B">
              <w:rPr>
                <w:bCs/>
                <w:lang w:val="uk-UA" w:eastAsia="en-US"/>
              </w:rPr>
              <w:t>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346</w:t>
            </w:r>
            <w:r w:rsidRPr="0023602B">
              <w:rPr>
                <w:bCs/>
                <w:lang w:val="uk-UA" w:eastAsia="en-US"/>
              </w:rPr>
              <w:t>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5C5731" w:rsidP="005C5731">
            <w:pPr>
              <w:jc w:val="center"/>
              <w:rPr>
                <w:bCs/>
                <w:lang w:val="uk-UA" w:eastAsia="en-US"/>
              </w:rPr>
            </w:pPr>
            <w:r w:rsidRPr="005C5731">
              <w:rPr>
                <w:bCs/>
                <w:lang w:val="uk-UA" w:eastAsia="en-US"/>
              </w:rPr>
              <w:t>17114,8</w:t>
            </w:r>
          </w:p>
        </w:tc>
      </w:tr>
      <w:tr w:rsidR="00105383" w:rsidRPr="00E56166" w:rsidTr="001864DE">
        <w:tc>
          <w:tcPr>
            <w:tcW w:w="15026" w:type="dxa"/>
            <w:gridSpan w:val="10"/>
            <w:shd w:val="clear" w:color="auto" w:fill="auto"/>
          </w:tcPr>
          <w:p w:rsidR="00105383" w:rsidRPr="0023602B" w:rsidRDefault="00105383" w:rsidP="001864DE">
            <w:pPr>
              <w:jc w:val="center"/>
              <w:rPr>
                <w:b/>
              </w:rPr>
            </w:pPr>
            <w:r w:rsidRPr="0023602B">
              <w:rPr>
                <w:b/>
              </w:rPr>
              <w:t xml:space="preserve">ІІ  </w:t>
            </w:r>
            <w:proofErr w:type="spellStart"/>
            <w:r w:rsidRPr="0023602B">
              <w:rPr>
                <w:b/>
              </w:rPr>
              <w:t>Показники</w:t>
            </w:r>
            <w:proofErr w:type="spellEnd"/>
            <w:r w:rsidRPr="0023602B">
              <w:rPr>
                <w:b/>
              </w:rPr>
              <w:t xml:space="preserve"> продукту</w:t>
            </w:r>
          </w:p>
        </w:tc>
      </w:tr>
      <w:tr w:rsidR="001864DE" w:rsidRPr="00E56166" w:rsidTr="001864DE">
        <w:trPr>
          <w:trHeight w:val="638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>Площа дорожньої розмітки, яку планується нанести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vertAlign w:val="superscript"/>
                <w:lang w:val="uk-UA"/>
              </w:rPr>
            </w:pPr>
            <w:r w:rsidRPr="0023602B">
              <w:rPr>
                <w:lang w:val="uk-UA"/>
              </w:rPr>
              <w:t>м</w:t>
            </w:r>
            <w:r w:rsidRPr="0023602B">
              <w:rPr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0D2BAD" w:rsidRDefault="001864DE" w:rsidP="001864DE">
            <w:pPr>
              <w:jc w:val="center"/>
              <w:rPr>
                <w:lang w:val="uk-UA"/>
              </w:rPr>
            </w:pPr>
            <w:r w:rsidRPr="000D2BAD">
              <w:rPr>
                <w:lang w:val="uk-UA"/>
              </w:rPr>
              <w:t>6100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0D2BAD" w:rsidRDefault="001864DE" w:rsidP="001864DE">
            <w:pPr>
              <w:jc w:val="center"/>
              <w:rPr>
                <w:lang w:val="uk-UA"/>
              </w:rPr>
            </w:pPr>
            <w:r w:rsidRPr="000D2BAD">
              <w:rPr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0D2BAD" w:rsidRDefault="001864DE" w:rsidP="001864DE">
            <w:pPr>
              <w:jc w:val="center"/>
              <w:rPr>
                <w:lang w:val="uk-UA"/>
              </w:rPr>
            </w:pPr>
            <w:r w:rsidRPr="000D2BAD">
              <w:rPr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0D2BAD" w:rsidRDefault="001864DE" w:rsidP="001864DE">
            <w:pPr>
              <w:jc w:val="center"/>
              <w:rPr>
                <w:lang w:val="uk-UA"/>
              </w:rPr>
            </w:pPr>
            <w:r w:rsidRPr="000D2BAD">
              <w:rPr>
                <w:lang w:val="uk-UA"/>
              </w:rPr>
              <w:t>6100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0D2BAD" w:rsidRDefault="001864DE" w:rsidP="001864DE">
            <w:pPr>
              <w:jc w:val="center"/>
              <w:rPr>
                <w:lang w:val="uk-UA"/>
              </w:rPr>
            </w:pPr>
            <w:r w:rsidRPr="000D2BAD">
              <w:rPr>
                <w:lang w:val="uk-UA"/>
              </w:rPr>
              <w:t>6100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0D2BAD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30500</w:t>
            </w:r>
          </w:p>
        </w:tc>
      </w:tr>
      <w:tr w:rsidR="001864DE" w:rsidRPr="00E56166" w:rsidTr="001864DE">
        <w:trPr>
          <w:trHeight w:val="554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 xml:space="preserve">Кількість </w:t>
            </w:r>
            <w:proofErr w:type="spellStart"/>
            <w:r w:rsidRPr="0023602B">
              <w:rPr>
                <w:lang w:val="uk-UA"/>
              </w:rPr>
              <w:t>світлодіодних</w:t>
            </w:r>
            <w:proofErr w:type="spellEnd"/>
            <w:r w:rsidRPr="0023602B">
              <w:rPr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</w:tr>
      <w:tr w:rsidR="001864DE" w:rsidRPr="00E56166" w:rsidTr="001864DE">
        <w:trPr>
          <w:trHeight w:val="840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>Кількість інформаційно-вказівних знаків з новими назвами, які планується встановити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23602B">
              <w:rPr>
                <w:lang w:val="uk-UA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</w:tr>
      <w:tr w:rsidR="001864DE" w:rsidRPr="00E56166" w:rsidTr="001864DE">
        <w:trPr>
          <w:trHeight w:val="710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  <w:r w:rsidRPr="0023602B">
              <w:rPr>
                <w:lang w:val="uk-UA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</w:t>
            </w:r>
          </w:p>
        </w:tc>
      </w:tr>
      <w:tr w:rsidR="001864DE" w:rsidRPr="00E56166" w:rsidTr="001864DE">
        <w:trPr>
          <w:trHeight w:val="710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>
              <w:rPr>
                <w:lang w:val="uk-UA"/>
              </w:rPr>
              <w:t>Кількість камер відео спостереження, які планується технічно обслуговувати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</w:tr>
      <w:tr w:rsidR="001864DE" w:rsidRPr="002656A5" w:rsidTr="001864DE">
        <w:trPr>
          <w:trHeight w:val="848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23602B">
              <w:rPr>
                <w:lang w:val="uk-UA"/>
              </w:rPr>
              <w:t>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800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3400</w:t>
            </w:r>
          </w:p>
        </w:tc>
      </w:tr>
      <w:tr w:rsidR="00105383" w:rsidRPr="002656A5" w:rsidTr="001864DE">
        <w:tc>
          <w:tcPr>
            <w:tcW w:w="15026" w:type="dxa"/>
            <w:gridSpan w:val="10"/>
            <w:shd w:val="clear" w:color="auto" w:fill="auto"/>
          </w:tcPr>
          <w:p w:rsidR="00105383" w:rsidRPr="0023602B" w:rsidRDefault="00105383" w:rsidP="001864DE">
            <w:pPr>
              <w:jc w:val="center"/>
              <w:rPr>
                <w:b/>
                <w:lang w:val="uk-UA"/>
              </w:rPr>
            </w:pPr>
            <w:r w:rsidRPr="0023602B">
              <w:rPr>
                <w:b/>
                <w:lang w:val="uk-UA"/>
              </w:rPr>
              <w:lastRenderedPageBreak/>
              <w:t xml:space="preserve">ІІІ. Показники ефективності </w:t>
            </w:r>
          </w:p>
        </w:tc>
      </w:tr>
      <w:tr w:rsidR="001864DE" w:rsidRPr="00E56166" w:rsidTr="005C5731">
        <w:trPr>
          <w:trHeight w:val="717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color w:val="FF0000"/>
                <w:lang w:val="uk-UA"/>
              </w:rPr>
            </w:pPr>
            <w:r w:rsidRPr="0023602B">
              <w:rPr>
                <w:lang w:val="uk-UA"/>
              </w:rPr>
              <w:t>Динаміка підвищення рівня безпеки дорожнього руху на території Бахмутської міської ОТГ порівняно з попереднім роком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</w:pPr>
            <w:r w:rsidRPr="0023602B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105383" w:rsidRPr="00E56166" w:rsidTr="001864DE">
        <w:tc>
          <w:tcPr>
            <w:tcW w:w="15026" w:type="dxa"/>
            <w:gridSpan w:val="10"/>
            <w:shd w:val="clear" w:color="auto" w:fill="auto"/>
          </w:tcPr>
          <w:p w:rsidR="00105383" w:rsidRPr="0023602B" w:rsidRDefault="00105383" w:rsidP="001864DE">
            <w:pPr>
              <w:jc w:val="center"/>
              <w:rPr>
                <w:b/>
              </w:rPr>
            </w:pPr>
            <w:r w:rsidRPr="0023602B">
              <w:rPr>
                <w:b/>
              </w:rPr>
              <w:t xml:space="preserve">ІV </w:t>
            </w:r>
            <w:proofErr w:type="spellStart"/>
            <w:r w:rsidRPr="0023602B">
              <w:rPr>
                <w:b/>
              </w:rPr>
              <w:t>Показники</w:t>
            </w:r>
            <w:proofErr w:type="spellEnd"/>
            <w:r w:rsidRPr="0023602B">
              <w:rPr>
                <w:b/>
              </w:rPr>
              <w:t xml:space="preserve"> </w:t>
            </w:r>
            <w:proofErr w:type="spellStart"/>
            <w:r w:rsidRPr="0023602B">
              <w:rPr>
                <w:b/>
              </w:rPr>
              <w:t>якості</w:t>
            </w:r>
            <w:proofErr w:type="spellEnd"/>
            <w:r w:rsidRPr="0023602B">
              <w:rPr>
                <w:b/>
              </w:rPr>
              <w:t xml:space="preserve"> </w:t>
            </w:r>
          </w:p>
        </w:tc>
      </w:tr>
      <w:tr w:rsidR="001864DE" w:rsidRPr="000379E5" w:rsidTr="005C5731">
        <w:trPr>
          <w:trHeight w:val="834"/>
        </w:trPr>
        <w:tc>
          <w:tcPr>
            <w:tcW w:w="426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64DE" w:rsidRPr="0023602B" w:rsidRDefault="001864DE" w:rsidP="001864DE">
            <w:pPr>
              <w:rPr>
                <w:lang w:val="uk-UA"/>
              </w:rPr>
            </w:pPr>
            <w:r w:rsidRPr="0023602B">
              <w:rPr>
                <w:lang w:val="uk-UA"/>
              </w:rPr>
              <w:t>Динаміка покращення дорожньої інфраструктури на території Бахмутської міської ОТГ порівняно з попереднім роком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4DE" w:rsidRPr="0023602B" w:rsidRDefault="001864DE" w:rsidP="001864DE">
            <w:pPr>
              <w:jc w:val="center"/>
              <w:rPr>
                <w:lang w:val="uk-UA"/>
              </w:rPr>
            </w:pPr>
            <w:r w:rsidRPr="0023602B">
              <w:rPr>
                <w:lang w:val="uk-UA"/>
              </w:rPr>
              <w:t>30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64DE" w:rsidRPr="0023602B" w:rsidRDefault="00636304" w:rsidP="001864D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</w:tbl>
    <w:p w:rsidR="000D2BAD" w:rsidRDefault="000D2BAD" w:rsidP="00105383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05383" w:rsidRPr="002B256D" w:rsidRDefault="00105383" w:rsidP="00105383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2 «Показники результативності Програми» до Програми «Підвищення безпеки дорожнього руху на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роки»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8939E7" w:rsidRPr="0047669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затвердженої рішенням Бахмутської міської ради від 21.10.2020 № 6/148-3151, із змінами,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105383" w:rsidRDefault="00105383" w:rsidP="0010538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</w:t>
      </w:r>
      <w:r w:rsidR="005C40DB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 xml:space="preserve">                                  Т.М. </w:t>
      </w:r>
      <w:proofErr w:type="spellStart"/>
      <w:r>
        <w:rPr>
          <w:b/>
          <w:sz w:val="28"/>
          <w:szCs w:val="28"/>
          <w:lang w:val="uk-UA"/>
        </w:rPr>
        <w:t>Платіцина</w:t>
      </w:r>
      <w:proofErr w:type="spellEnd"/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B65183" w:rsidRDefault="00B65183" w:rsidP="00B65183">
      <w:pPr>
        <w:tabs>
          <w:tab w:val="left" w:pos="3068"/>
        </w:tabs>
        <w:rPr>
          <w:b/>
          <w:sz w:val="28"/>
          <w:szCs w:val="28"/>
          <w:lang w:val="uk-UA"/>
        </w:rPr>
        <w:sectPr w:rsidR="00B65183" w:rsidSect="00B65183">
          <w:pgSz w:w="16838" w:h="11906" w:orient="landscape"/>
          <w:pgMar w:top="1276" w:right="907" w:bottom="709" w:left="907" w:header="709" w:footer="709" w:gutter="0"/>
          <w:pgNumType w:start="1"/>
          <w:cols w:space="720"/>
          <w:titlePg/>
          <w:docGrid w:linePitch="326"/>
        </w:sect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</w:t>
      </w:r>
      <w:r w:rsidR="005C40DB">
        <w:rPr>
          <w:b/>
          <w:sz w:val="28"/>
          <w:szCs w:val="28"/>
          <w:lang w:val="uk-UA"/>
        </w:rPr>
        <w:t xml:space="preserve">                 </w:t>
      </w:r>
      <w:r w:rsidRPr="00071B08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="005C40DB">
        <w:rPr>
          <w:b/>
          <w:sz w:val="28"/>
          <w:szCs w:val="28"/>
          <w:lang w:val="uk-UA"/>
        </w:rPr>
        <w:t xml:space="preserve">Г.В. </w:t>
      </w:r>
      <w:proofErr w:type="spellStart"/>
      <w:r w:rsidR="005C40DB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B65183" w:rsidRDefault="00B65183" w:rsidP="00B65183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B65183" w:rsidRDefault="00B65183" w:rsidP="00B65183">
      <w:pPr>
        <w:ind w:left="4820"/>
        <w:rPr>
          <w:i/>
          <w:lang w:val="uk-UA"/>
        </w:rPr>
      </w:pPr>
      <w:r>
        <w:rPr>
          <w:i/>
          <w:lang w:val="uk-UA"/>
        </w:rPr>
        <w:t xml:space="preserve">до Програми </w:t>
      </w:r>
      <w:r w:rsidR="000D2BAD">
        <w:rPr>
          <w:i/>
          <w:lang w:val="uk-UA"/>
        </w:rPr>
        <w:t>«Підвищення безпеки дорожнього руху на</w:t>
      </w:r>
      <w:r>
        <w:rPr>
          <w:i/>
          <w:lang w:val="uk-UA"/>
        </w:rPr>
        <w:t xml:space="preserve"> території Бахмутської міської територіальної громади на 2021-2025 роки</w:t>
      </w:r>
      <w:r w:rsidR="000D2BAD">
        <w:rPr>
          <w:i/>
          <w:lang w:val="uk-UA"/>
        </w:rPr>
        <w:t>»</w:t>
      </w:r>
      <w:r>
        <w:rPr>
          <w:i/>
          <w:lang w:val="uk-UA"/>
        </w:rPr>
        <w:t xml:space="preserve">, затвердженої рішенням </w:t>
      </w:r>
      <w:r w:rsidR="000D2BAD">
        <w:rPr>
          <w:i/>
          <w:lang w:val="uk-UA"/>
        </w:rPr>
        <w:t>Бахмутської</w:t>
      </w:r>
      <w:r w:rsidR="000D2BAD" w:rsidRPr="000D2BAD">
        <w:rPr>
          <w:i/>
          <w:lang w:val="uk-UA"/>
        </w:rPr>
        <w:t xml:space="preserve"> </w:t>
      </w:r>
      <w:r w:rsidR="000D2BAD">
        <w:rPr>
          <w:i/>
          <w:lang w:val="uk-UA"/>
        </w:rPr>
        <w:t>міської ради</w:t>
      </w:r>
    </w:p>
    <w:p w:rsidR="00B65183" w:rsidRDefault="000D2BAD" w:rsidP="00B65183">
      <w:pPr>
        <w:ind w:left="4820"/>
        <w:rPr>
          <w:i/>
          <w:lang w:val="uk-UA"/>
        </w:rPr>
      </w:pPr>
      <w:r>
        <w:rPr>
          <w:i/>
          <w:lang w:val="uk-UA"/>
        </w:rPr>
        <w:t xml:space="preserve"> від 21.10.2020  № 6/148-3151</w:t>
      </w:r>
      <w:r w:rsidR="00B65183">
        <w:rPr>
          <w:i/>
          <w:lang w:val="uk-UA"/>
        </w:rPr>
        <w:t>, із змінами</w:t>
      </w:r>
    </w:p>
    <w:p w:rsidR="00B65183" w:rsidRDefault="00B65183" w:rsidP="00B65183">
      <w:pPr>
        <w:ind w:left="4820"/>
        <w:rPr>
          <w:i/>
          <w:lang w:val="uk-UA"/>
        </w:rPr>
      </w:pPr>
      <w:r>
        <w:rPr>
          <w:i/>
          <w:lang w:val="uk-UA"/>
        </w:rPr>
        <w:t>(Додаток 3 у редакції рішення Бахмутської мі</w:t>
      </w:r>
      <w:r w:rsidR="000D2BAD">
        <w:rPr>
          <w:i/>
          <w:lang w:val="uk-UA"/>
        </w:rPr>
        <w:t>с</w:t>
      </w:r>
      <w:r w:rsidR="00476048">
        <w:rPr>
          <w:i/>
          <w:lang w:val="uk-UA"/>
        </w:rPr>
        <w:t>ької ради від 22</w:t>
      </w:r>
      <w:r w:rsidR="000D2BAD">
        <w:rPr>
          <w:i/>
          <w:lang w:val="uk-UA"/>
        </w:rPr>
        <w:t>.12.2021 № 7/17</w:t>
      </w:r>
      <w:r>
        <w:rPr>
          <w:i/>
          <w:lang w:val="uk-UA"/>
        </w:rPr>
        <w:t xml:space="preserve">- </w:t>
      </w:r>
      <w:r w:rsidR="00476048">
        <w:rPr>
          <w:i/>
          <w:lang w:val="uk-UA"/>
        </w:rPr>
        <w:t>485</w:t>
      </w:r>
      <w:r>
        <w:rPr>
          <w:i/>
          <w:lang w:val="uk-UA"/>
        </w:rPr>
        <w:t>)</w:t>
      </w:r>
    </w:p>
    <w:p w:rsidR="00B65183" w:rsidRDefault="00B65183" w:rsidP="00B65183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65183" w:rsidRDefault="00B65183" w:rsidP="00B65183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850BD2" w:rsidRDefault="00850BD2" w:rsidP="00850BD2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850BD2" w:rsidTr="001864DE">
        <w:trPr>
          <w:trHeight w:val="1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Обсяг коштів, який залучається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2022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2023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2024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eastAsia="en-US"/>
              </w:rPr>
              <w:t>2025 рік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Всього витрат на виконання Програми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7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Обсяг ресурсів, всього,</w:t>
            </w:r>
          </w:p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lang w:eastAsia="en-US"/>
              </w:rPr>
              <w:t>у тому числі: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1539,8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4515,0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4140,0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3455,0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3465,0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17144,8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left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- кошти державного бюджету;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left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- кошти обласного бюджету;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D2" w:rsidRPr="00821C5A" w:rsidRDefault="00850BD2" w:rsidP="001864DE">
            <w:pPr>
              <w:spacing w:line="276" w:lineRule="auto"/>
              <w:rPr>
                <w:bCs/>
                <w:lang w:val="uk-UA"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 xml:space="preserve">- </w:t>
            </w:r>
            <w:r w:rsidRPr="00821C5A">
              <w:rPr>
                <w:bCs/>
                <w:lang w:val="uk-UA" w:eastAsia="en-US"/>
              </w:rPr>
              <w:t>кошти бюджету Бахмутської міської територіальної громади</w:t>
            </w:r>
            <w:r>
              <w:rPr>
                <w:bCs/>
                <w:lang w:val="uk-UA" w:eastAsia="en-US"/>
              </w:rPr>
              <w:t>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1539,8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4515,0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4140,0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3455,0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3465,0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17144,8</w:t>
            </w:r>
          </w:p>
        </w:tc>
      </w:tr>
      <w:tr w:rsidR="00850BD2" w:rsidTr="001864D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left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lang w:eastAsia="en-US"/>
              </w:rPr>
              <w:t>- кошти інших джерел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sz w:val="22"/>
                <w:szCs w:val="22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0BD2" w:rsidRDefault="00850BD2" w:rsidP="001864DE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line="276" w:lineRule="auto"/>
              <w:ind w:firstLine="0"/>
              <w:jc w:val="center"/>
              <w:rPr>
                <w:rFonts w:ascii="Times New Roman CYR" w:hAnsi="Times New Roman CYR"/>
                <w:b/>
                <w:color w:val="000000"/>
                <w:lang w:eastAsia="en-US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</w:tbl>
    <w:p w:rsidR="00B65183" w:rsidRDefault="00B65183" w:rsidP="00B65183">
      <w:pPr>
        <w:rPr>
          <w:lang w:val="uk-UA"/>
        </w:rPr>
      </w:pPr>
    </w:p>
    <w:p w:rsidR="00B65183" w:rsidRDefault="00B65183" w:rsidP="00B65183">
      <w:pPr>
        <w:pStyle w:val="ad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3 «Ресурсне заб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езпечення Програми» до Програми «Підвищення безпеки дорожнього руху на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території Бахмутської міської територіальної громади на 2021-2025 роки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затвердженої рішенням Бахмутської міської </w:t>
      </w:r>
      <w:r w:rsidR="008939E7">
        <w:rPr>
          <w:rFonts w:ascii="Times New Roman" w:hAnsi="Times New Roman" w:cs="Times New Roman"/>
          <w:i/>
          <w:sz w:val="28"/>
          <w:szCs w:val="28"/>
          <w:lang w:val="uk-UA"/>
        </w:rPr>
        <w:t>ради від 21.10.2020 № 6/148-3151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B65183" w:rsidRDefault="00B65183" w:rsidP="00B65183">
      <w:pPr>
        <w:rPr>
          <w:sz w:val="28"/>
          <w:szCs w:val="28"/>
          <w:lang w:val="uk-UA"/>
        </w:rPr>
      </w:pPr>
    </w:p>
    <w:p w:rsidR="00B65183" w:rsidRDefault="00B65183" w:rsidP="00B65183">
      <w:pPr>
        <w:rPr>
          <w:sz w:val="28"/>
          <w:szCs w:val="28"/>
          <w:lang w:val="uk-UA"/>
        </w:rPr>
      </w:pPr>
    </w:p>
    <w:p w:rsidR="00B65183" w:rsidRDefault="00B65183" w:rsidP="00B65183">
      <w:pPr>
        <w:rPr>
          <w:b/>
          <w:sz w:val="28"/>
          <w:szCs w:val="28"/>
          <w:lang w:val="uk-UA"/>
        </w:rPr>
      </w:pPr>
      <w:r w:rsidRPr="002254EE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 Управління</w:t>
      </w:r>
    </w:p>
    <w:p w:rsidR="00B65183" w:rsidRDefault="00B65183" w:rsidP="00B65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міського господарства</w:t>
      </w:r>
    </w:p>
    <w:p w:rsidR="00B65183" w:rsidRDefault="00B65183" w:rsidP="00B65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B65183" w:rsidRDefault="00B65183" w:rsidP="00B6518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Бахмутської міської ради      </w:t>
      </w:r>
      <w:r w:rsidR="007E7073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 xml:space="preserve">                  Т.М. </w:t>
      </w:r>
      <w:proofErr w:type="spellStart"/>
      <w:r>
        <w:rPr>
          <w:b/>
          <w:sz w:val="28"/>
          <w:szCs w:val="28"/>
          <w:lang w:val="uk-UA"/>
        </w:rPr>
        <w:t>Платіцина</w:t>
      </w:r>
      <w:proofErr w:type="spellEnd"/>
    </w:p>
    <w:p w:rsidR="00B65183" w:rsidRDefault="00B65183" w:rsidP="00B65183">
      <w:pPr>
        <w:rPr>
          <w:b/>
          <w:sz w:val="28"/>
          <w:szCs w:val="28"/>
          <w:lang w:val="uk-UA"/>
        </w:rPr>
      </w:pPr>
    </w:p>
    <w:p w:rsidR="00B65183" w:rsidRDefault="00B65183" w:rsidP="00B65183">
      <w:pPr>
        <w:rPr>
          <w:b/>
          <w:sz w:val="28"/>
          <w:szCs w:val="28"/>
          <w:lang w:val="uk-UA"/>
        </w:rPr>
      </w:pPr>
    </w:p>
    <w:p w:rsidR="00B65183" w:rsidRPr="00071B08" w:rsidRDefault="00B65183" w:rsidP="00B65183">
      <w:pPr>
        <w:tabs>
          <w:tab w:val="left" w:pos="3068"/>
        </w:tabs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r w:rsidRPr="00071B08">
        <w:rPr>
          <w:b/>
          <w:sz w:val="28"/>
          <w:szCs w:val="28"/>
        </w:rPr>
        <w:t>Бахмутської</w:t>
      </w:r>
      <w:r>
        <w:rPr>
          <w:b/>
          <w:sz w:val="28"/>
          <w:szCs w:val="28"/>
          <w:lang w:val="uk-UA"/>
        </w:rPr>
        <w:t xml:space="preserve"> міс</w:t>
      </w:r>
      <w:r w:rsidR="007E7073">
        <w:rPr>
          <w:b/>
          <w:sz w:val="28"/>
          <w:szCs w:val="28"/>
          <w:lang w:val="uk-UA"/>
        </w:rPr>
        <w:t xml:space="preserve">ької ради        </w:t>
      </w:r>
      <w:r>
        <w:rPr>
          <w:b/>
          <w:sz w:val="28"/>
          <w:szCs w:val="28"/>
          <w:lang w:val="uk-UA"/>
        </w:rPr>
        <w:t xml:space="preserve">              </w:t>
      </w:r>
      <w:r w:rsidR="007E7073">
        <w:rPr>
          <w:b/>
          <w:sz w:val="28"/>
          <w:szCs w:val="28"/>
          <w:lang w:val="uk-UA"/>
        </w:rPr>
        <w:t xml:space="preserve">Г.В. </w:t>
      </w:r>
      <w:proofErr w:type="spellStart"/>
      <w:r w:rsidR="007E7073">
        <w:rPr>
          <w:b/>
          <w:sz w:val="28"/>
          <w:szCs w:val="28"/>
          <w:lang w:val="uk-UA"/>
        </w:rPr>
        <w:t>Петриєнко-Полухіна</w:t>
      </w:r>
      <w:proofErr w:type="spellEnd"/>
    </w:p>
    <w:p w:rsidR="00B65183" w:rsidRDefault="00B65183" w:rsidP="00B65183">
      <w:pPr>
        <w:rPr>
          <w:b/>
          <w:sz w:val="28"/>
          <w:szCs w:val="28"/>
          <w:lang w:val="uk-UA"/>
        </w:rPr>
      </w:pPr>
    </w:p>
    <w:p w:rsidR="00B65183" w:rsidRPr="00071B08" w:rsidRDefault="00B65183" w:rsidP="00B65183">
      <w:pPr>
        <w:tabs>
          <w:tab w:val="left" w:pos="3068"/>
        </w:tabs>
        <w:rPr>
          <w:sz w:val="28"/>
          <w:szCs w:val="28"/>
          <w:lang w:val="uk-UA"/>
        </w:rPr>
      </w:pPr>
    </w:p>
    <w:p w:rsidR="00B65183" w:rsidRDefault="00B65183" w:rsidP="00B65183"/>
    <w:p w:rsidR="00B65183" w:rsidRDefault="00B65183" w:rsidP="00B65183"/>
    <w:p w:rsidR="00B65183" w:rsidRPr="00B65183" w:rsidRDefault="00B65183">
      <w:pPr>
        <w:rPr>
          <w:lang w:val="uk-UA"/>
        </w:rPr>
      </w:pPr>
    </w:p>
    <w:sectPr w:rsidR="00B65183" w:rsidRPr="00B65183" w:rsidSect="00B651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EA5" w:rsidRDefault="005A2EA5" w:rsidP="00774C72">
      <w:r>
        <w:separator/>
      </w:r>
    </w:p>
  </w:endnote>
  <w:endnote w:type="continuationSeparator" w:id="0">
    <w:p w:rsidR="005A2EA5" w:rsidRDefault="005A2EA5" w:rsidP="00774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EA5" w:rsidRDefault="005A2EA5" w:rsidP="00774C72">
      <w:r>
        <w:separator/>
      </w:r>
    </w:p>
  </w:footnote>
  <w:footnote w:type="continuationSeparator" w:id="0">
    <w:p w:rsidR="005A2EA5" w:rsidRDefault="005A2EA5" w:rsidP="00774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9606597"/>
      <w:docPartObj>
        <w:docPartGallery w:val="Page Numbers (Top of Page)"/>
        <w:docPartUnique/>
      </w:docPartObj>
    </w:sdtPr>
    <w:sdtContent>
      <w:p w:rsidR="001864DE" w:rsidRDefault="00E25E1C">
        <w:pPr>
          <w:pStyle w:val="a4"/>
          <w:jc w:val="center"/>
        </w:pPr>
        <w:fldSimple w:instr="PAGE   \* MERGEFORMAT">
          <w:r w:rsidR="00476048">
            <w:rPr>
              <w:noProof/>
            </w:rPr>
            <w:t>2</w:t>
          </w:r>
        </w:fldSimple>
      </w:p>
    </w:sdtContent>
  </w:sdt>
  <w:p w:rsidR="001864DE" w:rsidRDefault="001864D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4DE" w:rsidRDefault="001864DE" w:rsidP="00B65183">
    <w:pPr>
      <w:pStyle w:val="a4"/>
      <w:tabs>
        <w:tab w:val="clear" w:pos="4677"/>
        <w:tab w:val="clear" w:pos="9355"/>
        <w:tab w:val="left" w:pos="8205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892160"/>
      <w:docPartObj>
        <w:docPartGallery w:val="Page Numbers (Top of Page)"/>
        <w:docPartUnique/>
      </w:docPartObj>
    </w:sdtPr>
    <w:sdtContent>
      <w:p w:rsidR="001864DE" w:rsidRDefault="00E25E1C">
        <w:pPr>
          <w:pStyle w:val="a4"/>
          <w:jc w:val="center"/>
        </w:pPr>
        <w:fldSimple w:instr="PAGE   \* MERGEFORMAT">
          <w:r w:rsidR="00476048">
            <w:rPr>
              <w:noProof/>
            </w:rPr>
            <w:t>2</w:t>
          </w:r>
        </w:fldSimple>
      </w:p>
    </w:sdtContent>
  </w:sdt>
  <w:p w:rsidR="001864DE" w:rsidRPr="00866EE6" w:rsidRDefault="001864DE" w:rsidP="00B65183">
    <w:pPr>
      <w:pStyle w:val="a4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F2DEE"/>
    <w:multiLevelType w:val="hybridMultilevel"/>
    <w:tmpl w:val="A2D09A66"/>
    <w:lvl w:ilvl="0" w:tplc="0368EC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8B5504"/>
    <w:multiLevelType w:val="hybridMultilevel"/>
    <w:tmpl w:val="E9D08FFC"/>
    <w:lvl w:ilvl="0" w:tplc="1F9018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183"/>
    <w:rsid w:val="00085DFB"/>
    <w:rsid w:val="00093964"/>
    <w:rsid w:val="000B4232"/>
    <w:rsid w:val="000C7AF5"/>
    <w:rsid w:val="000D2BAD"/>
    <w:rsid w:val="00105383"/>
    <w:rsid w:val="00137D05"/>
    <w:rsid w:val="00177419"/>
    <w:rsid w:val="001864DE"/>
    <w:rsid w:val="001A48B6"/>
    <w:rsid w:val="001D7E6B"/>
    <w:rsid w:val="001E1B98"/>
    <w:rsid w:val="001E63FC"/>
    <w:rsid w:val="00226CDA"/>
    <w:rsid w:val="002359A2"/>
    <w:rsid w:val="00276AE7"/>
    <w:rsid w:val="002852C0"/>
    <w:rsid w:val="002B2368"/>
    <w:rsid w:val="00316217"/>
    <w:rsid w:val="00327863"/>
    <w:rsid w:val="003F5572"/>
    <w:rsid w:val="00476048"/>
    <w:rsid w:val="00476EBE"/>
    <w:rsid w:val="004B4785"/>
    <w:rsid w:val="004D2668"/>
    <w:rsid w:val="004F4E50"/>
    <w:rsid w:val="00507BFF"/>
    <w:rsid w:val="00572B8E"/>
    <w:rsid w:val="00573A65"/>
    <w:rsid w:val="0057534D"/>
    <w:rsid w:val="005A2EA5"/>
    <w:rsid w:val="005C2A48"/>
    <w:rsid w:val="005C40DB"/>
    <w:rsid w:val="005C5731"/>
    <w:rsid w:val="005C69BE"/>
    <w:rsid w:val="00636304"/>
    <w:rsid w:val="0065429F"/>
    <w:rsid w:val="006759F1"/>
    <w:rsid w:val="00691F56"/>
    <w:rsid w:val="006D5D2F"/>
    <w:rsid w:val="00702454"/>
    <w:rsid w:val="00751175"/>
    <w:rsid w:val="00752405"/>
    <w:rsid w:val="00774C72"/>
    <w:rsid w:val="00790DA2"/>
    <w:rsid w:val="007E7073"/>
    <w:rsid w:val="008018E9"/>
    <w:rsid w:val="00805BF8"/>
    <w:rsid w:val="00850BD2"/>
    <w:rsid w:val="00892FF2"/>
    <w:rsid w:val="008939E7"/>
    <w:rsid w:val="00900F96"/>
    <w:rsid w:val="00982EC9"/>
    <w:rsid w:val="009D70CA"/>
    <w:rsid w:val="00A05853"/>
    <w:rsid w:val="00A21A82"/>
    <w:rsid w:val="00A36FCA"/>
    <w:rsid w:val="00A37450"/>
    <w:rsid w:val="00A53999"/>
    <w:rsid w:val="00A57732"/>
    <w:rsid w:val="00AA6211"/>
    <w:rsid w:val="00AC04CC"/>
    <w:rsid w:val="00AD0078"/>
    <w:rsid w:val="00AE3B94"/>
    <w:rsid w:val="00B50A0D"/>
    <w:rsid w:val="00B57C8A"/>
    <w:rsid w:val="00B62B4F"/>
    <w:rsid w:val="00B65183"/>
    <w:rsid w:val="00BC4856"/>
    <w:rsid w:val="00BF4751"/>
    <w:rsid w:val="00C417E3"/>
    <w:rsid w:val="00C51A74"/>
    <w:rsid w:val="00C55C7A"/>
    <w:rsid w:val="00D03A31"/>
    <w:rsid w:val="00D237B4"/>
    <w:rsid w:val="00D33BE7"/>
    <w:rsid w:val="00D34CEE"/>
    <w:rsid w:val="00D51610"/>
    <w:rsid w:val="00D74007"/>
    <w:rsid w:val="00DF60E0"/>
    <w:rsid w:val="00DF6551"/>
    <w:rsid w:val="00E25E1C"/>
    <w:rsid w:val="00E722D9"/>
    <w:rsid w:val="00E86C31"/>
    <w:rsid w:val="00E93B79"/>
    <w:rsid w:val="00EA5E53"/>
    <w:rsid w:val="00EB1462"/>
    <w:rsid w:val="00ED44F1"/>
    <w:rsid w:val="00EE2981"/>
    <w:rsid w:val="00F3567F"/>
    <w:rsid w:val="00F55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65183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B6518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651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B65183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4"/>
    <w:uiPriority w:val="99"/>
    <w:semiHidden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B651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B65183"/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6"/>
    <w:uiPriority w:val="99"/>
    <w:semiHidden/>
    <w:rsid w:val="00B651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unhideWhenUsed/>
    <w:rsid w:val="00B65183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8"/>
    <w:uiPriority w:val="99"/>
    <w:semiHidden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uiPriority w:val="99"/>
    <w:rsid w:val="00B6518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Body Text Indent"/>
    <w:basedOn w:val="a"/>
    <w:link w:val="a9"/>
    <w:uiPriority w:val="99"/>
    <w:rsid w:val="00B65183"/>
    <w:pPr>
      <w:ind w:firstLine="720"/>
      <w:jc w:val="both"/>
    </w:pPr>
    <w:rPr>
      <w:lang w:val="uk-UA"/>
    </w:rPr>
  </w:style>
  <w:style w:type="character" w:customStyle="1" w:styleId="12">
    <w:name w:val="Основной текст с отступом Знак1"/>
    <w:basedOn w:val="a0"/>
    <w:link w:val="aa"/>
    <w:uiPriority w:val="99"/>
    <w:semiHidden/>
    <w:rsid w:val="00B65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B65183"/>
    <w:pPr>
      <w:spacing w:before="100" w:beforeAutospacing="1" w:after="100" w:afterAutospacing="1"/>
    </w:pPr>
    <w:rPr>
      <w:lang w:val="uk-UA"/>
    </w:rPr>
  </w:style>
  <w:style w:type="paragraph" w:styleId="ac">
    <w:name w:val="List Paragraph"/>
    <w:basedOn w:val="a"/>
    <w:uiPriority w:val="34"/>
    <w:qFormat/>
    <w:rsid w:val="00B65183"/>
    <w:pPr>
      <w:ind w:left="720"/>
      <w:contextualSpacing/>
    </w:pPr>
  </w:style>
  <w:style w:type="paragraph" w:styleId="ad">
    <w:name w:val="No Spacing"/>
    <w:uiPriority w:val="1"/>
    <w:qFormat/>
    <w:rsid w:val="00B65183"/>
    <w:pPr>
      <w:spacing w:after="0" w:line="240" w:lineRule="auto"/>
    </w:pPr>
  </w:style>
  <w:style w:type="table" w:styleId="ae">
    <w:name w:val="Table Grid"/>
    <w:basedOn w:val="a1"/>
    <w:uiPriority w:val="59"/>
    <w:rsid w:val="00A05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</Pages>
  <Words>2233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63</cp:revision>
  <cp:lastPrinted>2021-12-06T09:46:00Z</cp:lastPrinted>
  <dcterms:created xsi:type="dcterms:W3CDTF">2021-11-22T08:51:00Z</dcterms:created>
  <dcterms:modified xsi:type="dcterms:W3CDTF">2021-12-23T07:04:00Z</dcterms:modified>
</cp:coreProperties>
</file>